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2"/>
        <w:gridCol w:w="5218"/>
        <w:gridCol w:w="3713"/>
      </w:tblGrid>
      <w:tr w:rsidR="00A67C72" w:rsidRPr="00A050B6" w:rsidTr="00E832A2">
        <w:tblPrEx>
          <w:tblCellMar>
            <w:top w:w="0" w:type="dxa"/>
            <w:bottom w:w="0" w:type="dxa"/>
          </w:tblCellMar>
        </w:tblPrEx>
        <w:trPr>
          <w:trHeight w:hRule="exact" w:val="840"/>
        </w:trPr>
        <w:tc>
          <w:tcPr>
            <w:tcW w:w="992" w:type="dxa"/>
          </w:tcPr>
          <w:bookmarkStart w:id="0" w:name="_GoBack"/>
          <w:bookmarkEnd w:id="0"/>
          <w:p w:rsidR="00A67C72" w:rsidRPr="00A050B6" w:rsidRDefault="00A67C72">
            <w:pPr>
              <w:pStyle w:val="Yltunniste"/>
              <w:tabs>
                <w:tab w:val="clear" w:pos="4819"/>
                <w:tab w:val="clear" w:pos="9638"/>
                <w:tab w:val="right" w:pos="9428"/>
              </w:tabs>
              <w:ind w:left="-71" w:right="-1"/>
            </w:pPr>
            <w:r w:rsidRPr="00A050B6">
              <w:object w:dxaOrig="1171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pt;height:44pt" o:ole="" fillcolor="window">
                  <v:imagedata r:id="rId8" o:title=""/>
                </v:shape>
                <o:OLEObject Type="Embed" ProgID="Word.Picture.8" ShapeID="_x0000_i1025" DrawAspect="Content" ObjectID="_1526813466" r:id="rId9"/>
              </w:object>
            </w:r>
          </w:p>
        </w:tc>
        <w:tc>
          <w:tcPr>
            <w:tcW w:w="5218" w:type="dxa"/>
          </w:tcPr>
          <w:p w:rsidR="00A67C72" w:rsidRPr="00A050B6" w:rsidRDefault="00A67C72">
            <w:pPr>
              <w:pStyle w:val="Yltunniste"/>
              <w:tabs>
                <w:tab w:val="clear" w:pos="4819"/>
              </w:tabs>
              <w:ind w:right="-1"/>
              <w:rPr>
                <w:sz w:val="18"/>
              </w:rPr>
            </w:pPr>
          </w:p>
          <w:p w:rsidR="00A67C72" w:rsidRPr="00A050B6" w:rsidRDefault="00A67C72">
            <w:pPr>
              <w:pStyle w:val="Yltunniste"/>
              <w:tabs>
                <w:tab w:val="clear" w:pos="4819"/>
              </w:tabs>
              <w:ind w:right="-1"/>
              <w:rPr>
                <w:sz w:val="18"/>
              </w:rPr>
            </w:pPr>
          </w:p>
          <w:p w:rsidR="00A67C72" w:rsidRPr="00A050B6" w:rsidRDefault="00A67C72">
            <w:pPr>
              <w:pStyle w:val="Yltunniste"/>
              <w:tabs>
                <w:tab w:val="clear" w:pos="4819"/>
              </w:tabs>
              <w:ind w:right="-1"/>
              <w:rPr>
                <w:i/>
                <w:spacing w:val="22"/>
                <w:sz w:val="16"/>
              </w:rPr>
            </w:pPr>
            <w:r w:rsidRPr="00A050B6">
              <w:rPr>
                <w:i/>
                <w:spacing w:val="22"/>
                <w:sz w:val="16"/>
              </w:rPr>
              <w:t xml:space="preserve">HELSINKI UNIVERSITY </w:t>
            </w:r>
            <w:r w:rsidR="008C668D" w:rsidRPr="00A050B6">
              <w:rPr>
                <w:i/>
                <w:spacing w:val="22"/>
                <w:sz w:val="16"/>
              </w:rPr>
              <w:t xml:space="preserve">CENTRAL </w:t>
            </w:r>
            <w:r w:rsidRPr="00A050B6">
              <w:rPr>
                <w:i/>
                <w:spacing w:val="22"/>
                <w:sz w:val="16"/>
              </w:rPr>
              <w:t>HOSPITAL</w:t>
            </w:r>
            <w:r w:rsidR="008C668D" w:rsidRPr="00A050B6">
              <w:rPr>
                <w:i/>
                <w:spacing w:val="22"/>
                <w:sz w:val="16"/>
              </w:rPr>
              <w:t>, HUCH</w:t>
            </w:r>
            <w:r w:rsidRPr="00A050B6">
              <w:rPr>
                <w:i/>
                <w:spacing w:val="22"/>
                <w:sz w:val="16"/>
              </w:rPr>
              <w:t xml:space="preserve"> </w:t>
            </w:r>
          </w:p>
          <w:p w:rsidR="00A67C72" w:rsidRPr="00A050B6" w:rsidRDefault="00A67C72">
            <w:pPr>
              <w:pStyle w:val="Yltunniste"/>
              <w:tabs>
                <w:tab w:val="clear" w:pos="4819"/>
              </w:tabs>
              <w:ind w:right="-1"/>
            </w:pPr>
          </w:p>
        </w:tc>
        <w:tc>
          <w:tcPr>
            <w:tcW w:w="3713" w:type="dxa"/>
          </w:tcPr>
          <w:p w:rsidR="00A67C72" w:rsidRPr="00A050B6" w:rsidRDefault="00A67C72">
            <w:pPr>
              <w:pStyle w:val="Yltunniste"/>
              <w:tabs>
                <w:tab w:val="right" w:pos="3332"/>
              </w:tabs>
              <w:ind w:right="-1"/>
            </w:pPr>
          </w:p>
          <w:p w:rsidR="00A67C72" w:rsidRPr="00A050B6" w:rsidRDefault="00A67C72">
            <w:pPr>
              <w:pStyle w:val="Yltunniste"/>
              <w:tabs>
                <w:tab w:val="right" w:pos="3332"/>
              </w:tabs>
              <w:ind w:right="-1"/>
            </w:pPr>
          </w:p>
          <w:p w:rsidR="00A67C72" w:rsidRPr="00A050B6" w:rsidRDefault="00A67C72">
            <w:pPr>
              <w:pStyle w:val="Yltunniste"/>
              <w:tabs>
                <w:tab w:val="clear" w:pos="4819"/>
                <w:tab w:val="clear" w:pos="9638"/>
                <w:tab w:val="right" w:pos="3331"/>
                <w:tab w:val="right" w:pos="9498"/>
              </w:tabs>
              <w:ind w:right="-57"/>
            </w:pPr>
            <w:r w:rsidRPr="00A050B6">
              <w:tab/>
            </w:r>
          </w:p>
          <w:p w:rsidR="00A67C72" w:rsidRPr="00A050B6" w:rsidRDefault="00A67C72">
            <w:pPr>
              <w:pStyle w:val="Yltunniste"/>
              <w:tabs>
                <w:tab w:val="right" w:pos="3332"/>
              </w:tabs>
              <w:ind w:right="-1"/>
            </w:pPr>
          </w:p>
        </w:tc>
      </w:tr>
    </w:tbl>
    <w:p w:rsidR="00A67C72" w:rsidRPr="00A050B6" w:rsidRDefault="00A67C72">
      <w:pPr>
        <w:pStyle w:val="Yltunniste"/>
        <w:tabs>
          <w:tab w:val="clear" w:pos="4819"/>
          <w:tab w:val="clear" w:pos="9638"/>
          <w:tab w:val="right" w:pos="9498"/>
        </w:tabs>
        <w:ind w:right="-57"/>
      </w:pPr>
    </w:p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0"/>
        <w:gridCol w:w="3713"/>
      </w:tblGrid>
      <w:tr w:rsidR="00A67C72" w:rsidRPr="00A050B6" w:rsidTr="001B2BB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6210" w:type="dxa"/>
          </w:tcPr>
          <w:p w:rsidR="00A67C72" w:rsidRPr="00A050B6" w:rsidRDefault="00A67C72">
            <w:pPr>
              <w:ind w:left="283" w:hanging="283"/>
              <w:rPr>
                <w:snapToGrid w:val="0"/>
                <w:lang w:eastAsia="fi-FI"/>
              </w:rPr>
            </w:pPr>
            <w:r w:rsidRPr="00A050B6">
              <w:rPr>
                <w:snapToGrid w:val="0"/>
                <w:lang w:eastAsia="fi-FI"/>
              </w:rPr>
              <w:t>Department of Oncology / Physics</w:t>
            </w:r>
          </w:p>
          <w:p w:rsidR="00A67C72" w:rsidRPr="00A050B6" w:rsidRDefault="00A67C72">
            <w:pPr>
              <w:ind w:left="283" w:hanging="283"/>
              <w:rPr>
                <w:snapToGrid w:val="0"/>
                <w:lang w:eastAsia="fi-FI"/>
              </w:rPr>
            </w:pPr>
            <w:r w:rsidRPr="00A050B6">
              <w:rPr>
                <w:snapToGrid w:val="0"/>
                <w:lang w:eastAsia="fi-FI"/>
              </w:rPr>
              <w:t>Antti Kulmala</w:t>
            </w:r>
          </w:p>
          <w:p w:rsidR="00A67C72" w:rsidRPr="00A050B6" w:rsidRDefault="00A67C72">
            <w:pPr>
              <w:ind w:left="283" w:hanging="283"/>
              <w:rPr>
                <w:snapToGrid w:val="0"/>
                <w:lang w:eastAsia="fi-FI"/>
              </w:rPr>
            </w:pPr>
          </w:p>
          <w:p w:rsidR="00A67C72" w:rsidRPr="00A050B6" w:rsidRDefault="00A67C72"/>
        </w:tc>
        <w:tc>
          <w:tcPr>
            <w:tcW w:w="3713" w:type="dxa"/>
          </w:tcPr>
          <w:p w:rsidR="00A67C72" w:rsidRPr="00A050B6" w:rsidRDefault="0052099B">
            <w:pPr>
              <w:pStyle w:val="Yltunniste"/>
              <w:tabs>
                <w:tab w:val="clear" w:pos="4819"/>
                <w:tab w:val="clear" w:pos="9638"/>
                <w:tab w:val="right" w:pos="4325"/>
                <w:tab w:val="right" w:pos="9498"/>
              </w:tabs>
              <w:ind w:right="-57"/>
            </w:pPr>
            <w:r w:rsidRPr="00A050B6">
              <w:t xml:space="preserve">         </w:t>
            </w:r>
            <w:r w:rsidR="008C668D" w:rsidRPr="00A050B6">
              <w:t xml:space="preserve">                             </w:t>
            </w:r>
            <w:r w:rsidR="002B513D">
              <w:t xml:space="preserve"> </w:t>
            </w:r>
            <w:r w:rsidR="00A67C72" w:rsidRPr="00A050B6">
              <w:t>20</w:t>
            </w:r>
            <w:r w:rsidR="00E06930" w:rsidRPr="00A050B6">
              <w:t>1</w:t>
            </w:r>
            <w:r w:rsidR="00045817" w:rsidRPr="00A050B6">
              <w:t>6</w:t>
            </w:r>
            <w:r w:rsidR="002B513D">
              <w:t>/05/27</w:t>
            </w:r>
          </w:p>
          <w:p w:rsidR="00A67C72" w:rsidRPr="00A050B6" w:rsidRDefault="00A67C72">
            <w:pPr>
              <w:pStyle w:val="Yltunniste"/>
              <w:tabs>
                <w:tab w:val="clear" w:pos="4819"/>
                <w:tab w:val="clear" w:pos="9638"/>
                <w:tab w:val="right" w:pos="4325"/>
                <w:tab w:val="right" w:pos="9498"/>
              </w:tabs>
              <w:ind w:right="-57"/>
            </w:pPr>
          </w:p>
        </w:tc>
      </w:tr>
    </w:tbl>
    <w:p w:rsidR="00793D9B" w:rsidRPr="00A050B6" w:rsidRDefault="00793D9B">
      <w:pPr>
        <w:pStyle w:val="Otsikko2"/>
        <w:jc w:val="both"/>
        <w:rPr>
          <w:sz w:val="37"/>
          <w:szCs w:val="37"/>
        </w:rPr>
      </w:pPr>
    </w:p>
    <w:p w:rsidR="001F4B2C" w:rsidRPr="00A050B6" w:rsidRDefault="0085301A" w:rsidP="00040CFE">
      <w:pPr>
        <w:pStyle w:val="Otsikko2"/>
        <w:jc w:val="center"/>
        <w:rPr>
          <w:sz w:val="37"/>
          <w:szCs w:val="37"/>
        </w:rPr>
      </w:pPr>
      <w:r w:rsidRPr="00A050B6">
        <w:rPr>
          <w:sz w:val="37"/>
          <w:szCs w:val="37"/>
        </w:rPr>
        <w:t>TrueBeam</w:t>
      </w:r>
      <w:r w:rsidR="008A6730" w:rsidRPr="00A050B6">
        <w:rPr>
          <w:sz w:val="37"/>
          <w:szCs w:val="37"/>
        </w:rPr>
        <w:t xml:space="preserve"> Radiotherapy </w:t>
      </w:r>
      <w:r w:rsidR="00776987" w:rsidRPr="00A050B6">
        <w:rPr>
          <w:sz w:val="37"/>
          <w:szCs w:val="37"/>
        </w:rPr>
        <w:t>Accelerator</w:t>
      </w:r>
      <w:r w:rsidRPr="00A050B6">
        <w:rPr>
          <w:sz w:val="37"/>
          <w:szCs w:val="37"/>
        </w:rPr>
        <w:t xml:space="preserve"> </w:t>
      </w:r>
      <w:r w:rsidR="00045817" w:rsidRPr="00A050B6">
        <w:rPr>
          <w:sz w:val="37"/>
          <w:szCs w:val="37"/>
        </w:rPr>
        <w:t xml:space="preserve">Beam </w:t>
      </w:r>
      <w:r w:rsidR="00E06930" w:rsidRPr="00A050B6">
        <w:rPr>
          <w:sz w:val="37"/>
          <w:szCs w:val="37"/>
        </w:rPr>
        <w:t>D</w:t>
      </w:r>
      <w:r w:rsidR="00E06930" w:rsidRPr="00A050B6">
        <w:rPr>
          <w:sz w:val="37"/>
          <w:szCs w:val="37"/>
        </w:rPr>
        <w:t>a</w:t>
      </w:r>
      <w:r w:rsidR="00E06930" w:rsidRPr="00A050B6">
        <w:rPr>
          <w:sz w:val="37"/>
          <w:szCs w:val="37"/>
        </w:rPr>
        <w:t>ta</w:t>
      </w:r>
    </w:p>
    <w:p w:rsidR="00CA1D9F" w:rsidRPr="00A050B6" w:rsidRDefault="00CA1D9F" w:rsidP="00CA1D9F"/>
    <w:p w:rsidR="00A67C72" w:rsidRPr="00A050B6" w:rsidRDefault="00793D9B" w:rsidP="00D60298">
      <w:pPr>
        <w:pStyle w:val="Otsikko3"/>
        <w:jc w:val="both"/>
      </w:pPr>
      <w:r w:rsidRPr="00A050B6">
        <w:t>Introduction</w:t>
      </w:r>
    </w:p>
    <w:p w:rsidR="00A67C72" w:rsidRPr="00A050B6" w:rsidRDefault="00A67C72" w:rsidP="00D60298">
      <w:pPr>
        <w:jc w:val="both"/>
        <w:rPr>
          <w:lang w:eastAsia="fi-FI"/>
        </w:rPr>
      </w:pPr>
    </w:p>
    <w:p w:rsidR="001F4B2C" w:rsidRPr="00A050B6" w:rsidRDefault="00A67C72" w:rsidP="00780225">
      <w:pPr>
        <w:jc w:val="both"/>
      </w:pPr>
      <w:r w:rsidRPr="00A050B6">
        <w:t>Research’s purpose is to achieve</w:t>
      </w:r>
      <w:r w:rsidR="00E95737" w:rsidRPr="00A050B6">
        <w:t xml:space="preserve"> </w:t>
      </w:r>
      <w:r w:rsidR="001F4B2C" w:rsidRPr="00A050B6">
        <w:t xml:space="preserve">(i) </w:t>
      </w:r>
      <w:r w:rsidR="00E06930" w:rsidRPr="00A050B6">
        <w:t xml:space="preserve">input data for </w:t>
      </w:r>
      <w:r w:rsidR="001F4B2C" w:rsidRPr="00A050B6">
        <w:t>photon (</w:t>
      </w:r>
      <w:r w:rsidR="00E95737" w:rsidRPr="00A050B6">
        <w:t>AAA, AXB, P</w:t>
      </w:r>
      <w:r w:rsidR="00894174" w:rsidRPr="00A050B6">
        <w:t>O</w:t>
      </w:r>
      <w:r w:rsidR="00E95737" w:rsidRPr="00A050B6">
        <w:t>, DVO, PGO and</w:t>
      </w:r>
      <w:r w:rsidR="00170B18" w:rsidRPr="00A050B6">
        <w:t xml:space="preserve"> </w:t>
      </w:r>
      <w:r w:rsidR="00E95737" w:rsidRPr="00A050B6">
        <w:t>PRO</w:t>
      </w:r>
      <w:r w:rsidR="001F4B2C" w:rsidRPr="00A050B6">
        <w:t>) and ele</w:t>
      </w:r>
      <w:r w:rsidR="001F4B2C" w:rsidRPr="00A050B6">
        <w:t>c</w:t>
      </w:r>
      <w:r w:rsidR="001F4B2C" w:rsidRPr="00A050B6">
        <w:t>tron (GGPB)</w:t>
      </w:r>
      <w:r w:rsidR="00E06930" w:rsidRPr="00A050B6">
        <w:t xml:space="preserve"> </w:t>
      </w:r>
      <w:r w:rsidR="00040CFE">
        <w:t xml:space="preserve">dose </w:t>
      </w:r>
      <w:r w:rsidR="00E06930" w:rsidRPr="00A050B6">
        <w:t>calculation</w:t>
      </w:r>
      <w:r w:rsidR="001F4B2C" w:rsidRPr="00A050B6">
        <w:t xml:space="preserve"> algorithms</w:t>
      </w:r>
      <w:r w:rsidR="00E06930" w:rsidRPr="00A050B6">
        <w:t xml:space="preserve"> </w:t>
      </w:r>
      <w:r w:rsidR="00E95737" w:rsidRPr="00A050B6">
        <w:t xml:space="preserve">and (ii) </w:t>
      </w:r>
      <w:r w:rsidR="00CA1D9F" w:rsidRPr="00A050B6">
        <w:t xml:space="preserve">reference </w:t>
      </w:r>
      <w:r w:rsidR="00E95737" w:rsidRPr="00A050B6">
        <w:t xml:space="preserve">data for </w:t>
      </w:r>
      <w:r w:rsidR="00040CFE">
        <w:t xml:space="preserve">calculation </w:t>
      </w:r>
      <w:r w:rsidR="00E95737" w:rsidRPr="00A050B6">
        <w:t>verification</w:t>
      </w:r>
      <w:r w:rsidR="00E06930" w:rsidRPr="00A050B6">
        <w:t>.</w:t>
      </w:r>
      <w:r w:rsidR="002A531C" w:rsidRPr="00A050B6">
        <w:t xml:space="preserve"> </w:t>
      </w:r>
      <w:r w:rsidR="007844EE" w:rsidRPr="00A050B6">
        <w:t>Data c</w:t>
      </w:r>
      <w:r w:rsidR="002A531C" w:rsidRPr="00A050B6">
        <w:t>o</w:t>
      </w:r>
      <w:r w:rsidR="002A531C" w:rsidRPr="00A050B6">
        <w:t>l</w:t>
      </w:r>
      <w:r w:rsidR="002A531C" w:rsidRPr="00A050B6">
        <w:t>lection</w:t>
      </w:r>
      <w:r w:rsidR="00CA1D9F" w:rsidRPr="00A050B6">
        <w:t xml:space="preserve"> </w:t>
      </w:r>
      <w:r w:rsidR="00913CBF" w:rsidRPr="00A050B6">
        <w:t>include</w:t>
      </w:r>
      <w:r w:rsidR="007844EE" w:rsidRPr="00A050B6">
        <w:t>s</w:t>
      </w:r>
      <w:r w:rsidR="001F4B2C" w:rsidRPr="00A050B6">
        <w:t xml:space="preserve"> photon </w:t>
      </w:r>
      <w:r w:rsidR="00E06930" w:rsidRPr="00A050B6">
        <w:t>beam</w:t>
      </w:r>
      <w:r w:rsidR="00793D9B" w:rsidRPr="00A050B6">
        <w:t>s:</w:t>
      </w:r>
      <w:r w:rsidR="00E06930" w:rsidRPr="00A050B6">
        <w:t xml:space="preserve"> 6 MV,</w:t>
      </w:r>
      <w:r w:rsidR="00045817" w:rsidRPr="00A050B6">
        <w:t xml:space="preserve"> </w:t>
      </w:r>
      <w:r w:rsidR="001F4B2C" w:rsidRPr="00A050B6">
        <w:t>FFF</w:t>
      </w:r>
      <w:r w:rsidR="00CA1D9F" w:rsidRPr="00A050B6">
        <w:t>-</w:t>
      </w:r>
      <w:r w:rsidR="001F4B2C" w:rsidRPr="00A050B6">
        <w:t xml:space="preserve">6 MV, </w:t>
      </w:r>
      <w:r w:rsidR="00E06930" w:rsidRPr="00A050B6">
        <w:t>10 MV</w:t>
      </w:r>
      <w:r w:rsidR="00CA1D9F" w:rsidRPr="00A050B6">
        <w:t>, FFF-</w:t>
      </w:r>
      <w:r w:rsidR="001F4B2C" w:rsidRPr="00A050B6">
        <w:t>10 MV</w:t>
      </w:r>
      <w:r w:rsidR="00045817" w:rsidRPr="00A050B6">
        <w:t xml:space="preserve"> </w:t>
      </w:r>
      <w:r w:rsidR="00E06930" w:rsidRPr="00A050B6">
        <w:t>and 15 MV</w:t>
      </w:r>
      <w:r w:rsidR="007844EE" w:rsidRPr="00A050B6">
        <w:t xml:space="preserve"> and elec</w:t>
      </w:r>
      <w:r w:rsidR="001F4B2C" w:rsidRPr="00A050B6">
        <w:t>tron beam</w:t>
      </w:r>
      <w:r w:rsidR="003B1FE6" w:rsidRPr="00A050B6">
        <w:t>s:</w:t>
      </w:r>
      <w:r w:rsidR="007844EE" w:rsidRPr="00A050B6">
        <w:t xml:space="preserve"> 6 MeV, 9 MeV, 12 MeV and 16 MeV.</w:t>
      </w:r>
      <w:r w:rsidR="001F4B2C" w:rsidRPr="00A050B6">
        <w:t xml:space="preserve"> </w:t>
      </w:r>
      <w:r w:rsidR="00216C1C" w:rsidRPr="00A050B6">
        <w:t>B</w:t>
      </w:r>
      <w:r w:rsidR="00793D9B" w:rsidRPr="00A050B6">
        <w:t xml:space="preserve">eam data </w:t>
      </w:r>
      <w:r w:rsidR="00CA1D9F" w:rsidRPr="00A050B6">
        <w:t xml:space="preserve">wholeness </w:t>
      </w:r>
      <w:r w:rsidR="007844EE" w:rsidRPr="00A050B6">
        <w:t xml:space="preserve">follows recommendations </w:t>
      </w:r>
      <w:r w:rsidR="00793D9B" w:rsidRPr="00A050B6">
        <w:t xml:space="preserve">given </w:t>
      </w:r>
      <w:r w:rsidR="00216C1C" w:rsidRPr="00A050B6">
        <w:t xml:space="preserve">for photon and electron algorithms </w:t>
      </w:r>
      <w:r w:rsidR="00793D9B" w:rsidRPr="00A050B6">
        <w:t xml:space="preserve">in </w:t>
      </w:r>
      <w:r w:rsidR="007844EE" w:rsidRPr="00A050B6">
        <w:t>Eclipse alg</w:t>
      </w:r>
      <w:r w:rsidR="007844EE" w:rsidRPr="00A050B6">
        <w:t>o</w:t>
      </w:r>
      <w:r w:rsidR="007844EE" w:rsidRPr="00A050B6">
        <w:t>rithms reference guide.</w:t>
      </w:r>
    </w:p>
    <w:p w:rsidR="007844EE" w:rsidRPr="00A050B6" w:rsidRDefault="007844EE" w:rsidP="00780225">
      <w:pPr>
        <w:jc w:val="both"/>
      </w:pPr>
    </w:p>
    <w:p w:rsidR="007844EE" w:rsidRPr="00A050B6" w:rsidRDefault="00CA1D9F" w:rsidP="007844EE">
      <w:pPr>
        <w:jc w:val="both"/>
      </w:pPr>
      <w:r w:rsidRPr="00A050B6">
        <w:t>Studies c</w:t>
      </w:r>
      <w:r w:rsidR="007844EE" w:rsidRPr="00A050B6">
        <w:t xml:space="preserve">linical </w:t>
      </w:r>
      <w:r w:rsidR="00AC7091" w:rsidRPr="00A050B6">
        <w:t>p</w:t>
      </w:r>
      <w:r w:rsidR="007844EE" w:rsidRPr="00A050B6">
        <w:t>urpose is to achieve reference inpu</w:t>
      </w:r>
      <w:r w:rsidR="00040CFE">
        <w:t>t data for TrueBeam accelerators</w:t>
      </w:r>
      <w:r w:rsidR="007844EE" w:rsidRPr="00A050B6">
        <w:t xml:space="preserve"> treatment beams.</w:t>
      </w:r>
    </w:p>
    <w:p w:rsidR="007844EE" w:rsidRPr="00A050B6" w:rsidRDefault="007844EE" w:rsidP="00780225">
      <w:pPr>
        <w:jc w:val="both"/>
      </w:pPr>
    </w:p>
    <w:p w:rsidR="00A67C72" w:rsidRPr="00A050B6" w:rsidRDefault="00A67C72" w:rsidP="00D60298">
      <w:pPr>
        <w:pStyle w:val="Otsikko3"/>
        <w:jc w:val="both"/>
      </w:pPr>
      <w:r w:rsidRPr="00A050B6">
        <w:t>Mea</w:t>
      </w:r>
      <w:r w:rsidRPr="00A050B6">
        <w:t>s</w:t>
      </w:r>
      <w:r w:rsidRPr="00A050B6">
        <w:t>urements</w:t>
      </w:r>
    </w:p>
    <w:p w:rsidR="00A67C72" w:rsidRDefault="00A67C72" w:rsidP="00D60298">
      <w:pPr>
        <w:jc w:val="both"/>
      </w:pPr>
    </w:p>
    <w:p w:rsidR="00040CFE" w:rsidRDefault="00040CFE" w:rsidP="00040CFE">
      <w:pPr>
        <w:jc w:val="both"/>
      </w:pPr>
      <w:r w:rsidRPr="00A050B6">
        <w:t xml:space="preserve">Photon beam measurements </w:t>
      </w:r>
      <w:r>
        <w:t xml:space="preserve">are </w:t>
      </w:r>
      <w:r w:rsidRPr="00A050B6">
        <w:t xml:space="preserve">made using ether </w:t>
      </w:r>
      <w:proofErr w:type="gramStart"/>
      <w:r w:rsidR="00FF09E3">
        <w:t>an</w:t>
      </w:r>
      <w:proofErr w:type="gramEnd"/>
      <w:r w:rsidR="00FF09E3">
        <w:t xml:space="preserve"> </w:t>
      </w:r>
      <w:r w:rsidRPr="00A050B6">
        <w:t xml:space="preserve">ionization chamber or </w:t>
      </w:r>
      <w:r w:rsidR="00FF09E3">
        <w:t xml:space="preserve">a </w:t>
      </w:r>
      <w:r w:rsidRPr="00A050B6">
        <w:t xml:space="preserve">diode detector. Ionization chamber </w:t>
      </w:r>
      <w:r>
        <w:t xml:space="preserve">is </w:t>
      </w:r>
      <w:r w:rsidRPr="00A050B6">
        <w:t xml:space="preserve">mainly used for data collection in medium and large fields and diode detector </w:t>
      </w:r>
      <w:r>
        <w:t xml:space="preserve">is </w:t>
      </w:r>
      <w:r w:rsidRPr="00A050B6">
        <w:t>used in radi</w:t>
      </w:r>
      <w:r w:rsidRPr="00A050B6">
        <w:t>a</w:t>
      </w:r>
      <w:r w:rsidRPr="00A050B6">
        <w:t xml:space="preserve">tion measurements </w:t>
      </w:r>
      <w:r>
        <w:t xml:space="preserve">in </w:t>
      </w:r>
      <w:r w:rsidRPr="00A050B6">
        <w:t xml:space="preserve">small fields. </w:t>
      </w:r>
      <w:r>
        <w:t>Please note that</w:t>
      </w:r>
      <w:r w:rsidR="00FF09E3">
        <w:t xml:space="preserve"> in this study</w:t>
      </w:r>
      <w:r>
        <w:t xml:space="preserve"> </w:t>
      </w:r>
      <w:r w:rsidR="00FF09E3">
        <w:t xml:space="preserve">absorbed dose to </w:t>
      </w:r>
      <w:r w:rsidRPr="00A050B6">
        <w:t xml:space="preserve">water </w:t>
      </w:r>
      <w:r>
        <w:t xml:space="preserve">is </w:t>
      </w:r>
      <w:r w:rsidRPr="00A050B6">
        <w:t>observed ind</w:t>
      </w:r>
      <w:r w:rsidRPr="00A050B6">
        <w:t>i</w:t>
      </w:r>
      <w:r w:rsidRPr="00A050B6">
        <w:t>rectly through measurement of ionization</w:t>
      </w:r>
      <w:r>
        <w:t xml:space="preserve"> or diode </w:t>
      </w:r>
      <w:r w:rsidRPr="00A050B6">
        <w:t>current.</w:t>
      </w:r>
      <w:r w:rsidRPr="00040CFE">
        <w:t xml:space="preserve"> </w:t>
      </w:r>
      <w:r>
        <w:t>All mea</w:t>
      </w:r>
      <w:r>
        <w:t>s</w:t>
      </w:r>
      <w:r>
        <w:t xml:space="preserve">ured data is relative. </w:t>
      </w:r>
    </w:p>
    <w:p w:rsidR="00040CFE" w:rsidRDefault="00040CFE" w:rsidP="00040CFE">
      <w:pPr>
        <w:jc w:val="both"/>
      </w:pPr>
    </w:p>
    <w:p w:rsidR="007844EE" w:rsidRPr="00A050B6" w:rsidRDefault="007844EE" w:rsidP="007844EE">
      <w:pPr>
        <w:jc w:val="both"/>
      </w:pPr>
      <w:r w:rsidRPr="00A050B6">
        <w:t>Source-to-Phantom-Distance, SPD 95 cm is used in photon beam data mea</w:t>
      </w:r>
      <w:r w:rsidRPr="00A050B6">
        <w:t>s</w:t>
      </w:r>
      <w:r w:rsidRPr="00A050B6">
        <w:t xml:space="preserve">urements. Electron beam data is measured using </w:t>
      </w:r>
      <w:r w:rsidR="00040CFE">
        <w:t>SPD</w:t>
      </w:r>
      <w:r w:rsidRPr="00A050B6">
        <w:t xml:space="preserve"> 100 cm. </w:t>
      </w:r>
      <w:r w:rsidR="006D2D91" w:rsidRPr="00A050B6">
        <w:t>P</w:t>
      </w:r>
      <w:r w:rsidRPr="00A050B6">
        <w:t>hoton data includes measured transmi</w:t>
      </w:r>
      <w:r w:rsidRPr="00A050B6">
        <w:t>s</w:t>
      </w:r>
      <w:r w:rsidRPr="00A050B6">
        <w:t>sion factors for mlc, tray and block.</w:t>
      </w:r>
    </w:p>
    <w:p w:rsidR="007844EE" w:rsidRDefault="007844EE" w:rsidP="00D60298">
      <w:pPr>
        <w:jc w:val="both"/>
      </w:pPr>
    </w:p>
    <w:p w:rsidR="00040CFE" w:rsidRDefault="00040CFE" w:rsidP="00040CFE">
      <w:pPr>
        <w:jc w:val="both"/>
      </w:pPr>
      <w:r>
        <w:t>A</w:t>
      </w:r>
      <w:r w:rsidRPr="00A050B6">
        <w:t>bsolute dose calibration for photon and electron beams is given in IAEA calibration geometry.</w:t>
      </w:r>
      <w:r>
        <w:t xml:space="preserve"> </w:t>
      </w:r>
    </w:p>
    <w:p w:rsidR="00040CFE" w:rsidRPr="00A050B6" w:rsidRDefault="00040CFE" w:rsidP="00040CFE">
      <w:pPr>
        <w:jc w:val="both"/>
      </w:pPr>
    </w:p>
    <w:p w:rsidR="00A67C72" w:rsidRPr="00A050B6" w:rsidRDefault="00A67C72" w:rsidP="00D60298">
      <w:pPr>
        <w:pStyle w:val="Otsikko3"/>
        <w:jc w:val="both"/>
      </w:pPr>
      <w:r w:rsidRPr="00A050B6">
        <w:t>Results</w:t>
      </w:r>
    </w:p>
    <w:p w:rsidR="00A67C72" w:rsidRPr="00A050B6" w:rsidRDefault="00A67C72" w:rsidP="00D90B82"/>
    <w:p w:rsidR="00E47803" w:rsidRPr="00A050B6" w:rsidRDefault="00D90B82" w:rsidP="00E47803">
      <w:pPr>
        <w:jc w:val="both"/>
      </w:pPr>
      <w:r w:rsidRPr="00A050B6">
        <w:t xml:space="preserve">Extensive, high quality and clinically usable beam data has been achieved. </w:t>
      </w:r>
    </w:p>
    <w:p w:rsidR="00D90B82" w:rsidRPr="00A050B6" w:rsidRDefault="00D90B82" w:rsidP="00D90B82"/>
    <w:p w:rsidR="00F246F8" w:rsidRPr="00A050B6" w:rsidRDefault="008C668D" w:rsidP="00F246F8">
      <w:pPr>
        <w:jc w:val="both"/>
      </w:pPr>
      <w:r w:rsidRPr="00A050B6">
        <w:t>F</w:t>
      </w:r>
      <w:r w:rsidR="00F246F8" w:rsidRPr="00A050B6">
        <w:t xml:space="preserve">our </w:t>
      </w:r>
      <w:r w:rsidRPr="00A050B6">
        <w:t xml:space="preserve">matched TrueBeam </w:t>
      </w:r>
      <w:r w:rsidR="00F246F8" w:rsidRPr="00A050B6">
        <w:t>accelerators</w:t>
      </w:r>
      <w:r w:rsidRPr="00A050B6">
        <w:t xml:space="preserve"> two placed </w:t>
      </w:r>
      <w:r w:rsidR="00216C1C" w:rsidRPr="00A050B6">
        <w:t>at Cancer Center</w:t>
      </w:r>
      <w:r w:rsidR="00F246F8" w:rsidRPr="00A050B6">
        <w:t xml:space="preserve"> Helsinki, </w:t>
      </w:r>
      <w:r w:rsidR="00216C1C" w:rsidRPr="00A050B6">
        <w:t>one at</w:t>
      </w:r>
      <w:r w:rsidRPr="00A050B6">
        <w:t xml:space="preserve"> </w:t>
      </w:r>
      <w:r w:rsidR="00216C1C" w:rsidRPr="00A050B6">
        <w:t>Kymenlaakso Central Hospital</w:t>
      </w:r>
      <w:r w:rsidR="00F246F8" w:rsidRPr="00A050B6">
        <w:t xml:space="preserve"> and </w:t>
      </w:r>
      <w:r w:rsidR="00216C1C" w:rsidRPr="00A050B6">
        <w:t>one at</w:t>
      </w:r>
      <w:r w:rsidRPr="00A050B6">
        <w:t xml:space="preserve"> </w:t>
      </w:r>
      <w:r w:rsidR="00216C1C" w:rsidRPr="00A050B6">
        <w:t>South Karelia Central Hospital</w:t>
      </w:r>
      <w:r w:rsidR="00F246F8" w:rsidRPr="00A050B6">
        <w:t xml:space="preserve"> are sharing </w:t>
      </w:r>
      <w:r w:rsidRPr="00A050B6">
        <w:t xml:space="preserve">presented </w:t>
      </w:r>
      <w:r w:rsidR="00F246F8" w:rsidRPr="00A050B6">
        <w:t xml:space="preserve">beam data. We </w:t>
      </w:r>
      <w:r w:rsidR="005B59D2" w:rsidRPr="00A050B6">
        <w:t>estimate</w:t>
      </w:r>
      <w:r w:rsidR="00F246F8" w:rsidRPr="00A050B6">
        <w:t xml:space="preserve"> that </w:t>
      </w:r>
      <w:r w:rsidR="00216C1C" w:rsidRPr="00A050B6">
        <w:t xml:space="preserve">radiotherapy treatments for 50 new </w:t>
      </w:r>
      <w:r w:rsidR="00F246F8" w:rsidRPr="00A050B6">
        <w:t>patient</w:t>
      </w:r>
      <w:r w:rsidR="00216C1C" w:rsidRPr="00A050B6">
        <w:t>s per week are</w:t>
      </w:r>
      <w:r w:rsidR="00F246F8" w:rsidRPr="00A050B6">
        <w:t xml:space="preserve"> </w:t>
      </w:r>
      <w:r w:rsidR="00AC7091" w:rsidRPr="00A050B6">
        <w:t>planned</w:t>
      </w:r>
      <w:r w:rsidR="00F246F8" w:rsidRPr="00A050B6">
        <w:t xml:space="preserve"> using algorithms</w:t>
      </w:r>
      <w:r w:rsidR="00A01BDA" w:rsidRPr="00A050B6">
        <w:t xml:space="preserve"> </w:t>
      </w:r>
      <w:r w:rsidR="007C23AA">
        <w:t>(</w:t>
      </w:r>
      <w:r w:rsidR="00A01BDA" w:rsidRPr="00A050B6">
        <w:t>e.g. AAA and PO</w:t>
      </w:r>
      <w:r w:rsidR="007C23AA">
        <w:t>)</w:t>
      </w:r>
      <w:r w:rsidR="00F246F8" w:rsidRPr="00A050B6">
        <w:t xml:space="preserve"> setup with the deli</w:t>
      </w:r>
      <w:r w:rsidR="00F246F8" w:rsidRPr="00A050B6">
        <w:t>v</w:t>
      </w:r>
      <w:r w:rsidR="00F246F8" w:rsidRPr="00A050B6">
        <w:t xml:space="preserve">ered data. </w:t>
      </w:r>
    </w:p>
    <w:p w:rsidR="00AC7091" w:rsidRPr="00A050B6" w:rsidRDefault="00AC7091" w:rsidP="00F246F8">
      <w:pPr>
        <w:jc w:val="both"/>
      </w:pPr>
    </w:p>
    <w:p w:rsidR="00D90B82" w:rsidRPr="00A050B6" w:rsidRDefault="00D90B82" w:rsidP="00D60298">
      <w:pPr>
        <w:pStyle w:val="normalBodytext"/>
        <w:jc w:val="both"/>
      </w:pPr>
    </w:p>
    <w:p w:rsidR="00A67C72" w:rsidRPr="00A050B6" w:rsidRDefault="00A67C72" w:rsidP="00D60298">
      <w:pPr>
        <w:pStyle w:val="normalBodytext"/>
        <w:jc w:val="both"/>
      </w:pPr>
      <w:r w:rsidRPr="00A050B6">
        <w:t xml:space="preserve">Helsinki, the </w:t>
      </w:r>
      <w:r w:rsidR="00045817" w:rsidRPr="00A050B6">
        <w:t>27</w:t>
      </w:r>
      <w:r w:rsidRPr="00A050B6">
        <w:t xml:space="preserve">th of </w:t>
      </w:r>
      <w:r w:rsidR="00045817" w:rsidRPr="00A050B6">
        <w:t xml:space="preserve">May </w:t>
      </w:r>
      <w:r w:rsidRPr="00A050B6">
        <w:t>20</w:t>
      </w:r>
      <w:r w:rsidR="00541444" w:rsidRPr="00A050B6">
        <w:t>1</w:t>
      </w:r>
      <w:r w:rsidR="00045817" w:rsidRPr="00A050B6">
        <w:t>6</w:t>
      </w:r>
    </w:p>
    <w:p w:rsidR="00A67C72" w:rsidRPr="00A050B6" w:rsidRDefault="00A67C72" w:rsidP="00D60298">
      <w:pPr>
        <w:pStyle w:val="normalBodytext"/>
        <w:jc w:val="both"/>
      </w:pPr>
    </w:p>
    <w:p w:rsidR="00A67C72" w:rsidRPr="00A050B6" w:rsidRDefault="00A67C72" w:rsidP="00D60298">
      <w:pPr>
        <w:pStyle w:val="normalBodytext"/>
        <w:jc w:val="both"/>
      </w:pPr>
      <w:r w:rsidRPr="00A050B6">
        <w:t>___________________________________</w:t>
      </w:r>
      <w:r w:rsidRPr="00A050B6">
        <w:tab/>
      </w:r>
      <w:r w:rsidRPr="00A050B6">
        <w:tab/>
        <w:t>___________________________________</w:t>
      </w:r>
    </w:p>
    <w:p w:rsidR="00E47803" w:rsidRPr="00A050B6" w:rsidRDefault="00A67C72" w:rsidP="0085301A">
      <w:pPr>
        <w:pStyle w:val="normalBodytext"/>
        <w:jc w:val="both"/>
      </w:pPr>
      <w:r w:rsidRPr="00A050B6">
        <w:t>Antti Kulmala, Physicist</w:t>
      </w:r>
      <w:r w:rsidRPr="00A050B6">
        <w:tab/>
      </w:r>
      <w:r w:rsidRPr="00A050B6">
        <w:tab/>
      </w:r>
      <w:r w:rsidRPr="00A050B6">
        <w:tab/>
      </w:r>
      <w:r w:rsidRPr="00A050B6">
        <w:br/>
        <w:t>Helsinki University Central Hospital,</w:t>
      </w:r>
      <w:r w:rsidRPr="00A050B6">
        <w:tab/>
      </w:r>
      <w:r w:rsidRPr="00A050B6">
        <w:tab/>
      </w:r>
      <w:r w:rsidRPr="00A050B6">
        <w:br/>
        <w:t>Department of Oncology</w:t>
      </w:r>
      <w:r w:rsidRPr="00A050B6">
        <w:tab/>
      </w:r>
    </w:p>
    <w:p w:rsidR="00793D9B" w:rsidRPr="00A050B6" w:rsidRDefault="00793D9B" w:rsidP="0085301A">
      <w:pPr>
        <w:pStyle w:val="normalBodytext"/>
        <w:jc w:val="both"/>
      </w:pPr>
    </w:p>
    <w:p w:rsidR="00FA24E9" w:rsidRPr="00A050B6" w:rsidRDefault="00FA24E9" w:rsidP="00FA24E9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lastRenderedPageBreak/>
        <w:t>Environment</w:t>
      </w:r>
    </w:p>
    <w:p w:rsidR="00FA24E9" w:rsidRPr="00A050B6" w:rsidRDefault="00FA24E9" w:rsidP="00FA24E9">
      <w:pPr>
        <w:pStyle w:val="Otsikko3"/>
        <w:jc w:val="both"/>
        <w:rPr>
          <w:sz w:val="22"/>
          <w:szCs w:val="22"/>
        </w:rPr>
      </w:pPr>
      <w:r w:rsidRPr="00A050B6">
        <w:rPr>
          <w:sz w:val="22"/>
          <w:szCs w:val="22"/>
        </w:rPr>
        <w:t>Treatment Unit</w:t>
      </w:r>
    </w:p>
    <w:p w:rsidR="00FA24E9" w:rsidRPr="00A050B6" w:rsidRDefault="00FA24E9" w:rsidP="00FA24E9">
      <w:pPr>
        <w:jc w:val="both"/>
      </w:pPr>
    </w:p>
    <w:p w:rsidR="00CC3CF7" w:rsidRDefault="00FA24E9" w:rsidP="00A01BDA">
      <w:pPr>
        <w:jc w:val="both"/>
      </w:pPr>
      <w:r w:rsidRPr="00A050B6">
        <w:t>Th</w:t>
      </w:r>
      <w:r w:rsidR="00E46634">
        <w:t>is</w:t>
      </w:r>
      <w:r w:rsidRPr="00A050B6">
        <w:t xml:space="preserve"> study is carried out with a treatment unit</w:t>
      </w:r>
      <w:r w:rsidR="00827734" w:rsidRPr="00A050B6">
        <w:t xml:space="preserve">, </w:t>
      </w:r>
      <w:r w:rsidRPr="00A050B6">
        <w:t>which has been installed in</w:t>
      </w:r>
      <w:r w:rsidR="00827734" w:rsidRPr="00A050B6">
        <w:t xml:space="preserve"> Kymenlaakso Central Hospital</w:t>
      </w:r>
      <w:r w:rsidRPr="00A050B6">
        <w:t xml:space="preserve"> on </w:t>
      </w:r>
      <w:r w:rsidR="00CC3CF7">
        <w:t xml:space="preserve">spring </w:t>
      </w:r>
      <w:r w:rsidRPr="00A050B6">
        <w:t>201</w:t>
      </w:r>
      <w:r w:rsidR="00712EDB" w:rsidRPr="00A050B6">
        <w:t>2</w:t>
      </w:r>
      <w:r w:rsidRPr="00A050B6">
        <w:t xml:space="preserve">. The treatment unit has </w:t>
      </w:r>
      <w:r w:rsidR="00712EDB" w:rsidRPr="00A050B6">
        <w:t>five</w:t>
      </w:r>
      <w:r w:rsidRPr="00A050B6">
        <w:t xml:space="preserve"> photon energies, </w:t>
      </w:r>
      <w:r w:rsidR="00827734" w:rsidRPr="00A050B6">
        <w:t xml:space="preserve">four electron energies, </w:t>
      </w:r>
      <w:r w:rsidRPr="00A050B6">
        <w:t>multi-leaf-collimator (</w:t>
      </w:r>
      <w:r w:rsidR="00712EDB" w:rsidRPr="00A050B6">
        <w:t>Mi</w:t>
      </w:r>
      <w:r w:rsidR="00712EDB" w:rsidRPr="00A050B6">
        <w:t>l</w:t>
      </w:r>
      <w:r w:rsidR="00712EDB" w:rsidRPr="00A050B6">
        <w:t>lenium 120</w:t>
      </w:r>
      <w:r w:rsidR="00827734" w:rsidRPr="00A050B6">
        <w:t xml:space="preserve">), </w:t>
      </w:r>
      <w:r w:rsidR="00A01BDA" w:rsidRPr="00A050B6">
        <w:t xml:space="preserve">3-degree couch </w:t>
      </w:r>
      <w:r w:rsidR="00827734" w:rsidRPr="00A050B6">
        <w:t>(</w:t>
      </w:r>
      <w:r w:rsidR="00A01BDA" w:rsidRPr="00A050B6">
        <w:t xml:space="preserve">Exact IGRTcouch </w:t>
      </w:r>
      <w:r w:rsidR="00827734" w:rsidRPr="00A050B6">
        <w:t>thin 6 cm)</w:t>
      </w:r>
      <w:r w:rsidRPr="00A050B6">
        <w:t xml:space="preserve"> and kV on board imager (</w:t>
      </w:r>
      <w:r w:rsidR="00712EDB" w:rsidRPr="00A050B6">
        <w:t>OBI</w:t>
      </w:r>
      <w:r w:rsidRPr="00A050B6">
        <w:t xml:space="preserve">). Primary collimators limit maximum field size to </w:t>
      </w:r>
      <w:r w:rsidR="00712EDB" w:rsidRPr="00A050B6">
        <w:t>40</w:t>
      </w:r>
      <w:r w:rsidRPr="00A050B6">
        <w:t xml:space="preserve"> x </w:t>
      </w:r>
      <w:r w:rsidR="00712EDB" w:rsidRPr="00A050B6">
        <w:t>40</w:t>
      </w:r>
      <w:r w:rsidRPr="00A050B6">
        <w:t xml:space="preserve"> cm</w:t>
      </w:r>
      <w:r w:rsidRPr="00A050B6">
        <w:rPr>
          <w:vertAlign w:val="superscript"/>
        </w:rPr>
        <w:t>2</w:t>
      </w:r>
      <w:r w:rsidR="00CC3CF7">
        <w:t xml:space="preserve"> at isosenter plane.</w:t>
      </w:r>
      <w:r w:rsidRPr="00A050B6">
        <w:t xml:space="preserve"> </w:t>
      </w:r>
      <w:r w:rsidR="00CC3CF7">
        <w:t xml:space="preserve">Studied </w:t>
      </w:r>
      <w:r w:rsidR="00712EDB" w:rsidRPr="00A050B6">
        <w:t xml:space="preserve">photon </w:t>
      </w:r>
      <w:r w:rsidRPr="00A050B6">
        <w:t>beams are collima</w:t>
      </w:r>
      <w:r w:rsidRPr="00A050B6">
        <w:t>t</w:t>
      </w:r>
      <w:r w:rsidRPr="00A050B6">
        <w:t xml:space="preserve">ed with </w:t>
      </w:r>
      <w:r w:rsidR="00712EDB" w:rsidRPr="00A050B6">
        <w:t>movable jaws</w:t>
      </w:r>
      <w:r w:rsidR="00CC3CF7">
        <w:t>,</w:t>
      </w:r>
      <w:r w:rsidR="00712EDB" w:rsidRPr="00A050B6">
        <w:t xml:space="preserve"> and </w:t>
      </w:r>
      <w:r w:rsidR="00CC3CF7">
        <w:t xml:space="preserve">investigated </w:t>
      </w:r>
      <w:r w:rsidR="00712EDB" w:rsidRPr="00A050B6">
        <w:t>electron beams are collimated with tubus</w:t>
      </w:r>
      <w:r w:rsidR="00CC3CF7">
        <w:t xml:space="preserve"> accessories</w:t>
      </w:r>
      <w:r w:rsidR="00712EDB" w:rsidRPr="00A050B6">
        <w:t xml:space="preserve"> </w:t>
      </w:r>
      <w:r w:rsidR="00A01BDA" w:rsidRPr="00A050B6">
        <w:t xml:space="preserve">equipped </w:t>
      </w:r>
      <w:r w:rsidR="00712EDB" w:rsidRPr="00A050B6">
        <w:t>with factory made block</w:t>
      </w:r>
      <w:r w:rsidR="00A01BDA" w:rsidRPr="00A050B6">
        <w:t xml:space="preserve"> frame</w:t>
      </w:r>
      <w:r w:rsidR="00E46634">
        <w:t>s</w:t>
      </w:r>
      <w:r w:rsidR="00712EDB" w:rsidRPr="00A050B6">
        <w:t>.</w:t>
      </w:r>
      <w:r w:rsidRPr="00A050B6">
        <w:t xml:space="preserve"> </w:t>
      </w:r>
    </w:p>
    <w:p w:rsidR="00CC3CF7" w:rsidRDefault="00CC3CF7" w:rsidP="00A01BDA">
      <w:pPr>
        <w:jc w:val="both"/>
      </w:pPr>
    </w:p>
    <w:p w:rsidR="00FA24E9" w:rsidRPr="00A050B6" w:rsidRDefault="00A01BDA" w:rsidP="00A01BDA">
      <w:pPr>
        <w:jc w:val="both"/>
      </w:pPr>
      <w:r w:rsidRPr="00A050B6">
        <w:t>Information of</w:t>
      </w:r>
      <w:r w:rsidR="00FA24E9" w:rsidRPr="00A050B6">
        <w:t xml:space="preserve"> beam characteristic can be found in </w:t>
      </w:r>
      <w:r w:rsidR="00FA24E9" w:rsidRPr="00A050B6">
        <w:fldChar w:fldCharType="begin"/>
      </w:r>
      <w:r w:rsidR="00FA24E9" w:rsidRPr="00A050B6">
        <w:instrText xml:space="preserve"> REF _Ref533301605 \h </w:instrText>
      </w:r>
      <w:r w:rsidR="00FA24E9" w:rsidRPr="00A050B6">
        <w:instrText xml:space="preserve"> \* MERGEFORMAT </w:instrText>
      </w:r>
      <w:r w:rsidR="00FA24E9" w:rsidRPr="00A050B6">
        <w:fldChar w:fldCharType="separate"/>
      </w:r>
      <w:r w:rsidR="00181E99" w:rsidRPr="00181E99">
        <w:t xml:space="preserve">Table </w:t>
      </w:r>
      <w:r w:rsidR="00181E99" w:rsidRPr="00181E99">
        <w:rPr>
          <w:noProof/>
        </w:rPr>
        <w:t>1</w:t>
      </w:r>
      <w:r w:rsidR="00FA24E9" w:rsidRPr="00A050B6">
        <w:fldChar w:fldCharType="end"/>
      </w:r>
      <w:r w:rsidR="008621B1" w:rsidRPr="00A050B6">
        <w:t>a, 1b and 1c</w:t>
      </w:r>
      <w:r w:rsidR="00FA24E9" w:rsidRPr="00A050B6">
        <w:t>. In pre-measurement eval</w:t>
      </w:r>
      <w:r w:rsidR="00FA24E9" w:rsidRPr="00A050B6">
        <w:t>u</w:t>
      </w:r>
      <w:r w:rsidR="00FA24E9" w:rsidRPr="00A050B6">
        <w:t>ation treatment unit is found to be in good condition. All measurements have been done in accelerators se</w:t>
      </w:r>
      <w:r w:rsidR="00FA24E9" w:rsidRPr="00A050B6">
        <w:t>r</w:t>
      </w:r>
      <w:r w:rsidR="00FA24E9" w:rsidRPr="00A050B6">
        <w:t xml:space="preserve">vice mode. </w:t>
      </w:r>
    </w:p>
    <w:p w:rsidR="00FA24E9" w:rsidRPr="00A050B6" w:rsidRDefault="00FA24E9" w:rsidP="00FA24E9">
      <w:pPr>
        <w:jc w:val="both"/>
      </w:pPr>
    </w:p>
    <w:p w:rsidR="00FA24E9" w:rsidRPr="00A050B6" w:rsidRDefault="00FA24E9" w:rsidP="00FA24E9">
      <w:pPr>
        <w:jc w:val="both"/>
        <w:rPr>
          <w:b/>
          <w:sz w:val="18"/>
          <w:szCs w:val="18"/>
        </w:rPr>
      </w:pPr>
      <w:bookmarkStart w:id="1" w:name="_Ref533301605"/>
      <w:r w:rsidRPr="00A050B6">
        <w:rPr>
          <w:b/>
          <w:sz w:val="18"/>
          <w:szCs w:val="18"/>
        </w:rPr>
        <w:t xml:space="preserve">Table </w:t>
      </w:r>
      <w:r w:rsidRPr="00A050B6">
        <w:rPr>
          <w:b/>
          <w:sz w:val="18"/>
          <w:szCs w:val="18"/>
        </w:rPr>
        <w:fldChar w:fldCharType="begin"/>
      </w:r>
      <w:r w:rsidRPr="00A050B6">
        <w:rPr>
          <w:b/>
          <w:sz w:val="18"/>
          <w:szCs w:val="18"/>
        </w:rPr>
        <w:instrText xml:space="preserve"> SEQ Table \* ARABIC </w:instrText>
      </w:r>
      <w:r w:rsidRPr="00A050B6">
        <w:rPr>
          <w:b/>
          <w:sz w:val="18"/>
          <w:szCs w:val="18"/>
        </w:rPr>
        <w:fldChar w:fldCharType="separate"/>
      </w:r>
      <w:r w:rsidR="00181E99">
        <w:rPr>
          <w:b/>
          <w:noProof/>
          <w:sz w:val="18"/>
          <w:szCs w:val="18"/>
        </w:rPr>
        <w:t>1</w:t>
      </w:r>
      <w:r w:rsidRPr="00A050B6">
        <w:rPr>
          <w:b/>
          <w:sz w:val="18"/>
          <w:szCs w:val="18"/>
        </w:rPr>
        <w:fldChar w:fldCharType="end"/>
      </w:r>
      <w:bookmarkEnd w:id="1"/>
      <w:r w:rsidR="00F91B71" w:rsidRPr="00A050B6">
        <w:rPr>
          <w:b/>
          <w:sz w:val="18"/>
          <w:szCs w:val="18"/>
        </w:rPr>
        <w:t>a</w:t>
      </w:r>
      <w:r w:rsidRPr="00A050B6">
        <w:rPr>
          <w:b/>
          <w:sz w:val="18"/>
          <w:szCs w:val="18"/>
        </w:rPr>
        <w:t xml:space="preserve">: </w:t>
      </w:r>
      <w:r w:rsidR="00F91B71" w:rsidRPr="00A050B6">
        <w:rPr>
          <w:b/>
          <w:sz w:val="18"/>
          <w:szCs w:val="18"/>
        </w:rPr>
        <w:t>Studied</w:t>
      </w:r>
      <w:r w:rsidRPr="00A050B6">
        <w:rPr>
          <w:b/>
          <w:sz w:val="18"/>
          <w:szCs w:val="18"/>
        </w:rPr>
        <w:t xml:space="preserve"> t</w:t>
      </w:r>
      <w:r w:rsidR="00F91B71" w:rsidRPr="00A050B6">
        <w:rPr>
          <w:b/>
          <w:sz w:val="18"/>
          <w:szCs w:val="18"/>
        </w:rPr>
        <w:t>reatment unit</w:t>
      </w:r>
      <w:r w:rsidR="00D10942" w:rsidRPr="00A050B6">
        <w:rPr>
          <w:b/>
          <w:sz w:val="18"/>
          <w:szCs w:val="18"/>
        </w:rPr>
        <w:t>.</w:t>
      </w:r>
    </w:p>
    <w:tbl>
      <w:tblPr>
        <w:tblW w:w="9923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99CC00"/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FA24E9" w:rsidRPr="00A050B6" w:rsidTr="00D5276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FA24E9" w:rsidRPr="00A050B6" w:rsidRDefault="00FA24E9" w:rsidP="007D184B">
            <w:pPr>
              <w:rPr>
                <w:b/>
              </w:rPr>
            </w:pPr>
            <w:r w:rsidRPr="00A050B6">
              <w:rPr>
                <w:b/>
              </w:rPr>
              <w:t>Attribute</w:t>
            </w:r>
          </w:p>
        </w:tc>
        <w:tc>
          <w:tcPr>
            <w:tcW w:w="69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FA24E9" w:rsidRPr="00A050B6" w:rsidRDefault="00FA24E9" w:rsidP="007D184B">
            <w:pPr>
              <w:rPr>
                <w:b/>
              </w:rPr>
            </w:pPr>
            <w:r w:rsidRPr="00A050B6">
              <w:rPr>
                <w:b/>
              </w:rPr>
              <w:t>Value</w:t>
            </w:r>
          </w:p>
        </w:tc>
      </w:tr>
      <w:tr w:rsidR="00FA24E9" w:rsidRPr="00A050B6" w:rsidTr="00D5276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99CC00"/>
            <w:vAlign w:val="center"/>
          </w:tcPr>
          <w:p w:rsidR="00FA24E9" w:rsidRPr="00A050B6" w:rsidRDefault="00FA24E9" w:rsidP="007D184B">
            <w:r w:rsidRPr="00A050B6">
              <w:t>Machine Model</w:t>
            </w:r>
          </w:p>
        </w:tc>
        <w:tc>
          <w:tcPr>
            <w:tcW w:w="69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9CC00"/>
            <w:vAlign w:val="center"/>
          </w:tcPr>
          <w:p w:rsidR="00FA24E9" w:rsidRPr="00A050B6" w:rsidRDefault="00F91B71" w:rsidP="007D184B">
            <w:r w:rsidRPr="00A050B6">
              <w:t>TrueBeam</w:t>
            </w:r>
            <w:r w:rsidR="00FA24E9" w:rsidRPr="00A050B6">
              <w:t xml:space="preserve"> (sn:1</w:t>
            </w:r>
            <w:r w:rsidRPr="00A050B6">
              <w:t>219</w:t>
            </w:r>
            <w:r w:rsidR="00FA24E9" w:rsidRPr="00A050B6">
              <w:t>)</w:t>
            </w:r>
          </w:p>
        </w:tc>
      </w:tr>
      <w:tr w:rsidR="00FA24E9" w:rsidRPr="00A050B6" w:rsidTr="00D527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shd w:val="clear" w:color="auto" w:fill="99CC00"/>
            <w:vAlign w:val="center"/>
          </w:tcPr>
          <w:p w:rsidR="00FA24E9" w:rsidRPr="00A050B6" w:rsidRDefault="00FA24E9" w:rsidP="007D184B">
            <w:r w:rsidRPr="00A050B6">
              <w:t>Machine Scale</w:t>
            </w:r>
          </w:p>
        </w:tc>
        <w:tc>
          <w:tcPr>
            <w:tcW w:w="6946" w:type="dxa"/>
            <w:shd w:val="clear" w:color="auto" w:fill="99CC00"/>
            <w:vAlign w:val="center"/>
          </w:tcPr>
          <w:p w:rsidR="00FA24E9" w:rsidRPr="00A050B6" w:rsidRDefault="00F91B71" w:rsidP="007D184B">
            <w:pPr>
              <w:keepNext/>
            </w:pPr>
            <w:r w:rsidRPr="00A050B6">
              <w:t>Varian IEC</w:t>
            </w:r>
          </w:p>
        </w:tc>
      </w:tr>
    </w:tbl>
    <w:p w:rsidR="00F91B71" w:rsidRPr="00A050B6" w:rsidRDefault="00F91B71" w:rsidP="00F91B71">
      <w:pPr>
        <w:jc w:val="both"/>
        <w:rPr>
          <w:b/>
          <w:sz w:val="18"/>
          <w:szCs w:val="18"/>
        </w:rPr>
      </w:pPr>
    </w:p>
    <w:p w:rsidR="00F91B71" w:rsidRPr="00A050B6" w:rsidRDefault="00F91B71" w:rsidP="00F91B71">
      <w:pPr>
        <w:jc w:val="both"/>
        <w:rPr>
          <w:b/>
          <w:sz w:val="18"/>
          <w:szCs w:val="18"/>
        </w:rPr>
      </w:pPr>
      <w:r w:rsidRPr="00A050B6">
        <w:rPr>
          <w:b/>
          <w:sz w:val="18"/>
          <w:szCs w:val="18"/>
        </w:rPr>
        <w:t xml:space="preserve">Table </w:t>
      </w:r>
      <w:r w:rsidRPr="00A050B6">
        <w:rPr>
          <w:b/>
          <w:sz w:val="18"/>
          <w:szCs w:val="18"/>
        </w:rPr>
        <w:fldChar w:fldCharType="begin"/>
      </w:r>
      <w:r w:rsidRPr="00A050B6">
        <w:rPr>
          <w:b/>
          <w:sz w:val="18"/>
          <w:szCs w:val="18"/>
        </w:rPr>
        <w:instrText xml:space="preserve"> SEQ Table \* ARABIC </w:instrText>
      </w:r>
      <w:r w:rsidRPr="00A050B6">
        <w:rPr>
          <w:b/>
          <w:sz w:val="18"/>
          <w:szCs w:val="18"/>
        </w:rPr>
        <w:fldChar w:fldCharType="separate"/>
      </w:r>
      <w:r w:rsidR="00181E99">
        <w:rPr>
          <w:b/>
          <w:noProof/>
          <w:sz w:val="18"/>
          <w:szCs w:val="18"/>
        </w:rPr>
        <w:t>2</w:t>
      </w:r>
      <w:r w:rsidRPr="00A050B6">
        <w:rPr>
          <w:b/>
          <w:sz w:val="18"/>
          <w:szCs w:val="18"/>
        </w:rPr>
        <w:fldChar w:fldCharType="end"/>
      </w:r>
      <w:r w:rsidRPr="00A050B6">
        <w:rPr>
          <w:b/>
          <w:sz w:val="18"/>
          <w:szCs w:val="18"/>
        </w:rPr>
        <w:t>b: Studied photon beams</w:t>
      </w:r>
      <w:r w:rsidR="00D10942" w:rsidRPr="00A050B6">
        <w:rPr>
          <w:b/>
          <w:sz w:val="18"/>
          <w:szCs w:val="18"/>
        </w:rPr>
        <w:t>.</w:t>
      </w:r>
    </w:p>
    <w:tbl>
      <w:tblPr>
        <w:tblW w:w="9923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99CC00"/>
        <w:tblLayout w:type="fixed"/>
        <w:tblLook w:val="0000" w:firstRow="0" w:lastRow="0" w:firstColumn="0" w:lastColumn="0" w:noHBand="0" w:noVBand="0"/>
      </w:tblPr>
      <w:tblGrid>
        <w:gridCol w:w="2977"/>
        <w:gridCol w:w="851"/>
        <w:gridCol w:w="1134"/>
        <w:gridCol w:w="1134"/>
        <w:gridCol w:w="1134"/>
        <w:gridCol w:w="1275"/>
        <w:gridCol w:w="1418"/>
      </w:tblGrid>
      <w:tr w:rsidR="00F91B71" w:rsidRPr="00A050B6" w:rsidTr="00D527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rPr>
                <w:b/>
              </w:rPr>
            </w:pPr>
            <w:r w:rsidRPr="00A050B6">
              <w:rPr>
                <w:b/>
              </w:rPr>
              <w:t>Attribute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  <w:r w:rsidRPr="00A050B6">
              <w:rPr>
                <w:b/>
              </w:rPr>
              <w:t>Unit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  <w:r w:rsidRPr="00A050B6">
              <w:rPr>
                <w:b/>
              </w:rPr>
              <w:t>Va</w:t>
            </w:r>
            <w:r w:rsidRPr="00A050B6">
              <w:rPr>
                <w:b/>
              </w:rPr>
              <w:t>l</w:t>
            </w:r>
            <w:r w:rsidRPr="00A050B6">
              <w:rPr>
                <w:b/>
              </w:rPr>
              <w:t>ue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015FF2" w:rsidRPr="00A050B6" w:rsidRDefault="00015FF2" w:rsidP="00712EDB">
            <w:pPr>
              <w:jc w:val="center"/>
              <w:rPr>
                <w:b/>
              </w:rPr>
            </w:pPr>
          </w:p>
        </w:tc>
      </w:tr>
      <w:tr w:rsidR="00F91B71" w:rsidRPr="00A050B6" w:rsidTr="00D527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r w:rsidRPr="00A050B6">
              <w:t>Acceleration Potential</w:t>
            </w:r>
            <w:r w:rsidR="00712EDB" w:rsidRPr="00A050B6">
              <w:t xml:space="preserve"> </w:t>
            </w:r>
            <w:r w:rsidRPr="00A050B6">
              <w:t>NACP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[MV]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5.3</w:t>
            </w:r>
            <w:r w:rsidR="007D184B" w:rsidRPr="00A050B6">
              <w:t xml:space="preserve"> </w:t>
            </w:r>
            <w:r w:rsidRPr="00A050B6">
              <w:t>(6)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10.2</w:t>
            </w:r>
            <w:r w:rsidR="007D184B" w:rsidRPr="00A050B6">
              <w:t xml:space="preserve"> </w:t>
            </w:r>
            <w:r w:rsidRPr="00A050B6">
              <w:t>(10)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13.3</w:t>
            </w:r>
            <w:r w:rsidR="007D184B" w:rsidRPr="00A050B6">
              <w:t xml:space="preserve"> </w:t>
            </w:r>
            <w:r w:rsidRPr="00A050B6">
              <w:t>(15)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4.1</w:t>
            </w:r>
            <w:r w:rsidR="007D184B" w:rsidRPr="00A050B6">
              <w:t xml:space="preserve"> </w:t>
            </w:r>
            <w:r w:rsidRPr="00A050B6">
              <w:t>(6-FFF)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7.2</w:t>
            </w:r>
            <w:r w:rsidR="007D184B" w:rsidRPr="00A050B6">
              <w:t xml:space="preserve"> </w:t>
            </w:r>
            <w:r w:rsidRPr="00A050B6">
              <w:t>(10-FFF)</w:t>
            </w:r>
          </w:p>
        </w:tc>
      </w:tr>
      <w:tr w:rsidR="00F91B71" w:rsidRPr="00A050B6" w:rsidTr="00D527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shd w:val="clear" w:color="auto" w:fill="99CC00"/>
            <w:vAlign w:val="center"/>
          </w:tcPr>
          <w:p w:rsidR="00015FF2" w:rsidRPr="00A050B6" w:rsidRDefault="00015FF2" w:rsidP="007D184B">
            <w:r w:rsidRPr="00A050B6">
              <w:t>Depth of dose max of</w:t>
            </w:r>
          </w:p>
          <w:p w:rsidR="00015FF2" w:rsidRPr="00A050B6" w:rsidRDefault="00015FF2" w:rsidP="007D184B">
            <w:r w:rsidRPr="00A050B6">
              <w:t>FS: 10.0 x 10.0 cm</w:t>
            </w:r>
            <w:r w:rsidRPr="00A050B6">
              <w:rPr>
                <w:vertAlign w:val="superscript"/>
              </w:rPr>
              <w:t>2</w:t>
            </w:r>
          </w:p>
        </w:tc>
        <w:tc>
          <w:tcPr>
            <w:tcW w:w="851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[cm]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1.4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2.3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2.7</w:t>
            </w:r>
          </w:p>
        </w:tc>
        <w:tc>
          <w:tcPr>
            <w:tcW w:w="1275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1.4</w:t>
            </w:r>
          </w:p>
        </w:tc>
        <w:tc>
          <w:tcPr>
            <w:tcW w:w="1418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  <w:r w:rsidRPr="00A050B6">
              <w:t>2.0</w:t>
            </w:r>
          </w:p>
        </w:tc>
      </w:tr>
      <w:tr w:rsidR="00F91B71" w:rsidRPr="00A050B6" w:rsidTr="00D5276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shd w:val="clear" w:color="auto" w:fill="99CC00"/>
            <w:vAlign w:val="center"/>
          </w:tcPr>
          <w:p w:rsidR="00015FF2" w:rsidRPr="00A050B6" w:rsidRDefault="00015FF2" w:rsidP="007D184B">
            <w:r w:rsidRPr="00A050B6">
              <w:t>J100 / J200</w:t>
            </w:r>
          </w:p>
        </w:tc>
        <w:tc>
          <w:tcPr>
            <w:tcW w:w="851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jc w:val="center"/>
            </w:pP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keepNext/>
              <w:jc w:val="center"/>
            </w:pPr>
            <w:r w:rsidRPr="00A050B6">
              <w:t>1.745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keepNext/>
              <w:jc w:val="center"/>
            </w:pPr>
            <w:r w:rsidRPr="00A050B6">
              <w:t>1.587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keepNext/>
              <w:jc w:val="center"/>
            </w:pPr>
            <w:r w:rsidRPr="00A050B6">
              <w:t>1.539</w:t>
            </w:r>
          </w:p>
        </w:tc>
        <w:tc>
          <w:tcPr>
            <w:tcW w:w="1275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keepNext/>
              <w:jc w:val="center"/>
            </w:pPr>
            <w:r w:rsidRPr="00A050B6">
              <w:t>1.835</w:t>
            </w:r>
          </w:p>
        </w:tc>
        <w:tc>
          <w:tcPr>
            <w:tcW w:w="1418" w:type="dxa"/>
            <w:shd w:val="clear" w:color="auto" w:fill="99CC00"/>
            <w:vAlign w:val="center"/>
          </w:tcPr>
          <w:p w:rsidR="00015FF2" w:rsidRPr="00A050B6" w:rsidRDefault="00015FF2" w:rsidP="007D184B">
            <w:pPr>
              <w:keepNext/>
              <w:jc w:val="center"/>
            </w:pPr>
            <w:r w:rsidRPr="00A050B6">
              <w:t>1.657</w:t>
            </w:r>
          </w:p>
        </w:tc>
      </w:tr>
    </w:tbl>
    <w:p w:rsidR="00F91B71" w:rsidRPr="00A050B6" w:rsidRDefault="00F91B71" w:rsidP="00F91B71">
      <w:pPr>
        <w:jc w:val="both"/>
        <w:rPr>
          <w:b/>
          <w:sz w:val="18"/>
          <w:szCs w:val="18"/>
        </w:rPr>
      </w:pPr>
    </w:p>
    <w:p w:rsidR="00F91B71" w:rsidRPr="00A050B6" w:rsidRDefault="00F91B71" w:rsidP="00F91B71">
      <w:pPr>
        <w:jc w:val="both"/>
        <w:rPr>
          <w:b/>
          <w:sz w:val="18"/>
          <w:szCs w:val="18"/>
        </w:rPr>
      </w:pPr>
      <w:r w:rsidRPr="00A050B6">
        <w:rPr>
          <w:b/>
          <w:sz w:val="18"/>
          <w:szCs w:val="18"/>
        </w:rPr>
        <w:t xml:space="preserve">Table </w:t>
      </w:r>
      <w:r w:rsidRPr="00A050B6">
        <w:rPr>
          <w:b/>
          <w:sz w:val="18"/>
          <w:szCs w:val="18"/>
        </w:rPr>
        <w:fldChar w:fldCharType="begin"/>
      </w:r>
      <w:r w:rsidRPr="00A050B6">
        <w:rPr>
          <w:b/>
          <w:sz w:val="18"/>
          <w:szCs w:val="18"/>
        </w:rPr>
        <w:instrText xml:space="preserve"> SEQ Table \* ARABIC </w:instrText>
      </w:r>
      <w:r w:rsidRPr="00A050B6">
        <w:rPr>
          <w:b/>
          <w:sz w:val="18"/>
          <w:szCs w:val="18"/>
        </w:rPr>
        <w:fldChar w:fldCharType="separate"/>
      </w:r>
      <w:r w:rsidR="00181E99">
        <w:rPr>
          <w:b/>
          <w:noProof/>
          <w:sz w:val="18"/>
          <w:szCs w:val="18"/>
        </w:rPr>
        <w:t>3</w:t>
      </w:r>
      <w:r w:rsidRPr="00A050B6">
        <w:rPr>
          <w:b/>
          <w:sz w:val="18"/>
          <w:szCs w:val="18"/>
        </w:rPr>
        <w:fldChar w:fldCharType="end"/>
      </w:r>
      <w:r w:rsidRPr="00A050B6">
        <w:rPr>
          <w:b/>
          <w:sz w:val="18"/>
          <w:szCs w:val="18"/>
        </w:rPr>
        <w:t>c: Studied electron beams</w:t>
      </w:r>
      <w:r w:rsidR="00D10942" w:rsidRPr="00A050B6">
        <w:rPr>
          <w:b/>
          <w:sz w:val="18"/>
          <w:szCs w:val="18"/>
        </w:rPr>
        <w:t>.</w:t>
      </w:r>
    </w:p>
    <w:tbl>
      <w:tblPr>
        <w:tblW w:w="8505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99CC00"/>
        <w:tblLayout w:type="fixed"/>
        <w:tblLook w:val="0000" w:firstRow="0" w:lastRow="0" w:firstColumn="0" w:lastColumn="0" w:noHBand="0" w:noVBand="0"/>
      </w:tblPr>
      <w:tblGrid>
        <w:gridCol w:w="2977"/>
        <w:gridCol w:w="851"/>
        <w:gridCol w:w="1134"/>
        <w:gridCol w:w="1134"/>
        <w:gridCol w:w="1134"/>
        <w:gridCol w:w="1275"/>
      </w:tblGrid>
      <w:tr w:rsidR="00F91B71" w:rsidRPr="00A050B6" w:rsidTr="00CA48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F91B71" w:rsidRPr="00A050B6" w:rsidRDefault="00F91B71" w:rsidP="0002371E">
            <w:pPr>
              <w:jc w:val="both"/>
              <w:rPr>
                <w:b/>
              </w:rPr>
            </w:pPr>
            <w:r w:rsidRPr="00A050B6">
              <w:rPr>
                <w:b/>
              </w:rPr>
              <w:t>Attribute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  <w:rPr>
                <w:b/>
              </w:rPr>
            </w:pPr>
            <w:r w:rsidRPr="00A050B6">
              <w:rPr>
                <w:b/>
              </w:rPr>
              <w:t>Unit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  <w:rPr>
                <w:b/>
              </w:rPr>
            </w:pPr>
            <w:r w:rsidRPr="00A050B6">
              <w:rPr>
                <w:b/>
              </w:rPr>
              <w:t>Value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F91B71" w:rsidRPr="00A050B6" w:rsidRDefault="00F91B71" w:rsidP="0002371E">
            <w:pPr>
              <w:jc w:val="both"/>
              <w:rPr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9CC00"/>
          </w:tcPr>
          <w:p w:rsidR="00F91B71" w:rsidRPr="00A050B6" w:rsidRDefault="00F91B71" w:rsidP="0002371E">
            <w:pPr>
              <w:jc w:val="both"/>
              <w:rPr>
                <w:b/>
              </w:rPr>
            </w:pPr>
          </w:p>
        </w:tc>
      </w:tr>
      <w:tr w:rsidR="00F91B71" w:rsidRPr="00A050B6" w:rsidTr="00CA48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712EDB" w:rsidP="007D184B">
            <w:r w:rsidRPr="00A050B6">
              <w:t>Probable Energy TRS-277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[MeV]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712EDB" w:rsidP="007D184B">
            <w:pPr>
              <w:jc w:val="center"/>
            </w:pPr>
            <w:r w:rsidRPr="00A050B6">
              <w:t>6.2</w:t>
            </w:r>
            <w:r w:rsidR="007D184B" w:rsidRPr="00A050B6">
              <w:t xml:space="preserve"> </w:t>
            </w:r>
            <w:r w:rsidR="00F91B71" w:rsidRPr="00A050B6">
              <w:t>(6)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712EDB" w:rsidP="007D184B">
            <w:pPr>
              <w:jc w:val="center"/>
            </w:pPr>
            <w:r w:rsidRPr="00A050B6">
              <w:t>9.0</w:t>
            </w:r>
            <w:r w:rsidR="007D184B" w:rsidRPr="00A050B6">
              <w:t xml:space="preserve"> </w:t>
            </w:r>
            <w:r w:rsidR="00F91B71" w:rsidRPr="00A050B6">
              <w:t>(9)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712EDB" w:rsidP="007D184B">
            <w:pPr>
              <w:jc w:val="center"/>
            </w:pPr>
            <w:r w:rsidRPr="00A050B6">
              <w:t>12.4</w:t>
            </w:r>
            <w:r w:rsidR="007D184B" w:rsidRPr="00A050B6">
              <w:t xml:space="preserve"> </w:t>
            </w:r>
            <w:r w:rsidR="00F91B71" w:rsidRPr="00A050B6">
              <w:t>(12)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99CC00"/>
            <w:vAlign w:val="center"/>
          </w:tcPr>
          <w:p w:rsidR="00F91B71" w:rsidRPr="00A050B6" w:rsidRDefault="00712EDB" w:rsidP="007D184B">
            <w:pPr>
              <w:jc w:val="center"/>
            </w:pPr>
            <w:r w:rsidRPr="00A050B6">
              <w:t>16.3</w:t>
            </w:r>
            <w:r w:rsidR="007D184B" w:rsidRPr="00A050B6">
              <w:t xml:space="preserve"> </w:t>
            </w:r>
            <w:r w:rsidR="00F91B71" w:rsidRPr="00A050B6">
              <w:t>(16)</w:t>
            </w:r>
          </w:p>
        </w:tc>
      </w:tr>
      <w:tr w:rsidR="00F91B71" w:rsidRPr="00A050B6" w:rsidTr="00CA48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shd w:val="clear" w:color="auto" w:fill="99CC00"/>
            <w:vAlign w:val="center"/>
          </w:tcPr>
          <w:p w:rsidR="00F91B71" w:rsidRPr="00A050B6" w:rsidRDefault="00F91B71" w:rsidP="007D184B">
            <w:r w:rsidRPr="00A050B6">
              <w:t>Depth of dose max of</w:t>
            </w:r>
          </w:p>
          <w:p w:rsidR="00F91B71" w:rsidRPr="00A050B6" w:rsidRDefault="00F91B71" w:rsidP="007D184B">
            <w:r w:rsidRPr="00A050B6">
              <w:t>TUBUS: 20.0 x 20.0 cm</w:t>
            </w:r>
            <w:r w:rsidRPr="00A050B6">
              <w:rPr>
                <w:vertAlign w:val="superscript"/>
              </w:rPr>
              <w:t>2</w:t>
            </w:r>
          </w:p>
        </w:tc>
        <w:tc>
          <w:tcPr>
            <w:tcW w:w="851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[cm]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1.3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2.1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2.7</w:t>
            </w:r>
          </w:p>
        </w:tc>
        <w:tc>
          <w:tcPr>
            <w:tcW w:w="1275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3.1</w:t>
            </w:r>
          </w:p>
        </w:tc>
      </w:tr>
      <w:tr w:rsidR="00F91B71" w:rsidRPr="00A050B6" w:rsidTr="00CA483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77" w:type="dxa"/>
            <w:shd w:val="clear" w:color="auto" w:fill="99CC00"/>
            <w:vAlign w:val="center"/>
          </w:tcPr>
          <w:p w:rsidR="00F91B71" w:rsidRPr="00A050B6" w:rsidRDefault="00F91B71" w:rsidP="007D184B">
            <w:r w:rsidRPr="00A050B6">
              <w:t>R50</w:t>
            </w:r>
            <w:r w:rsidRPr="00A050B6">
              <w:rPr>
                <w:vertAlign w:val="subscript"/>
              </w:rPr>
              <w:t>ion</w:t>
            </w:r>
          </w:p>
        </w:tc>
        <w:tc>
          <w:tcPr>
            <w:tcW w:w="851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jc w:val="center"/>
            </w:pPr>
            <w:r w:rsidRPr="00A050B6">
              <w:t>[cm]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keepNext/>
              <w:jc w:val="center"/>
            </w:pPr>
            <w:r w:rsidRPr="00A050B6">
              <w:t>2.33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keepNext/>
              <w:jc w:val="center"/>
            </w:pPr>
            <w:r w:rsidRPr="00A050B6">
              <w:t>3.55</w:t>
            </w:r>
          </w:p>
        </w:tc>
        <w:tc>
          <w:tcPr>
            <w:tcW w:w="1134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keepNext/>
              <w:jc w:val="center"/>
            </w:pPr>
            <w:r w:rsidRPr="00A050B6">
              <w:t>4.94</w:t>
            </w:r>
          </w:p>
        </w:tc>
        <w:tc>
          <w:tcPr>
            <w:tcW w:w="1275" w:type="dxa"/>
            <w:shd w:val="clear" w:color="auto" w:fill="99CC00"/>
            <w:vAlign w:val="center"/>
          </w:tcPr>
          <w:p w:rsidR="00F91B71" w:rsidRPr="00A050B6" w:rsidRDefault="00F91B71" w:rsidP="007D184B">
            <w:pPr>
              <w:keepNext/>
              <w:jc w:val="center"/>
            </w:pPr>
            <w:r w:rsidRPr="00A050B6">
              <w:t>6.65</w:t>
            </w:r>
          </w:p>
        </w:tc>
      </w:tr>
    </w:tbl>
    <w:p w:rsidR="00942CCF" w:rsidRPr="00A050B6" w:rsidRDefault="00942CCF" w:rsidP="00FA24E9">
      <w:pPr>
        <w:pStyle w:val="Otsikko1"/>
        <w:jc w:val="center"/>
        <w:rPr>
          <w:sz w:val="36"/>
          <w:szCs w:val="36"/>
        </w:rPr>
      </w:pPr>
    </w:p>
    <w:p w:rsidR="007D184B" w:rsidRPr="00A050B6" w:rsidRDefault="007D184B" w:rsidP="007D184B">
      <w:pPr>
        <w:rPr>
          <w:lang w:eastAsia="fi-FI"/>
        </w:rPr>
      </w:pPr>
    </w:p>
    <w:p w:rsidR="00FA24E9" w:rsidRPr="00A050B6" w:rsidRDefault="00FA24E9" w:rsidP="00FA24E9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t>Measurements</w:t>
      </w:r>
    </w:p>
    <w:p w:rsidR="00FA24E9" w:rsidRPr="00A050B6" w:rsidRDefault="00FA24E9" w:rsidP="00FA24E9">
      <w:pPr>
        <w:rPr>
          <w:lang w:eastAsia="fi-FI"/>
        </w:rPr>
      </w:pPr>
    </w:p>
    <w:p w:rsidR="00FA24E9" w:rsidRPr="00A050B6" w:rsidRDefault="00FA24E9" w:rsidP="00FA24E9">
      <w:pPr>
        <w:pStyle w:val="Otsikko3"/>
        <w:jc w:val="both"/>
        <w:rPr>
          <w:sz w:val="22"/>
          <w:szCs w:val="22"/>
        </w:rPr>
      </w:pPr>
      <w:r w:rsidRPr="00A050B6">
        <w:rPr>
          <w:sz w:val="22"/>
          <w:szCs w:val="22"/>
        </w:rPr>
        <w:t>Measurement Equipment</w:t>
      </w:r>
    </w:p>
    <w:p w:rsidR="00FA24E9" w:rsidRDefault="00FA24E9" w:rsidP="00FA24E9">
      <w:pPr>
        <w:jc w:val="both"/>
      </w:pPr>
    </w:p>
    <w:p w:rsidR="00FA24E9" w:rsidRPr="00A050B6" w:rsidRDefault="00FA24E9" w:rsidP="00FA24E9">
      <w:pPr>
        <w:jc w:val="both"/>
      </w:pPr>
      <w:r w:rsidRPr="00A050B6">
        <w:t>Measurements have been made in ~ 40 x 40 x 40 cm</w:t>
      </w:r>
      <w:r w:rsidRPr="00A050B6">
        <w:rPr>
          <w:vertAlign w:val="superscript"/>
        </w:rPr>
        <w:t>3</w:t>
      </w:r>
      <w:r w:rsidRPr="00A050B6">
        <w:t xml:space="preserve"> Blue Phantom 2</w:t>
      </w:r>
      <w:r w:rsidRPr="00A050B6">
        <w:rPr>
          <w:rFonts w:cs="Arial"/>
        </w:rPr>
        <w:t>®</w:t>
      </w:r>
      <w:r w:rsidRPr="00A050B6">
        <w:t xml:space="preserve"> -water phantom system. In this phantom detectors are attached to robotic arm, which is computer driven. </w:t>
      </w:r>
      <w:r w:rsidR="00240032">
        <w:t>With e</w:t>
      </w:r>
      <w:r w:rsidR="00CC3CF7">
        <w:t xml:space="preserve">lectronic online detectors </w:t>
      </w:r>
      <w:r w:rsidR="00240032">
        <w:t xml:space="preserve">used in this study </w:t>
      </w:r>
      <w:r w:rsidR="00CC3CF7" w:rsidRPr="00A050B6">
        <w:t xml:space="preserve">absorbed dose is measured indirectly thought measurement of </w:t>
      </w:r>
      <w:r w:rsidR="00CC3CF7">
        <w:t>charge</w:t>
      </w:r>
      <w:r w:rsidR="00CC3CF7" w:rsidRPr="00A050B6">
        <w:t>.</w:t>
      </w:r>
      <w:r w:rsidR="00CC3CF7">
        <w:t xml:space="preserve"> </w:t>
      </w:r>
      <w:r w:rsidR="00A01BDA" w:rsidRPr="00A050B6">
        <w:t>D</w:t>
      </w:r>
      <w:r w:rsidRPr="00A050B6">
        <w:t>etails of mea</w:t>
      </w:r>
      <w:r w:rsidRPr="00A050B6">
        <w:t>s</w:t>
      </w:r>
      <w:r w:rsidRPr="00A050B6">
        <w:t>ur</w:t>
      </w:r>
      <w:r w:rsidRPr="00A050B6">
        <w:t>e</w:t>
      </w:r>
      <w:r w:rsidRPr="00A050B6">
        <w:t xml:space="preserve">ment </w:t>
      </w:r>
      <w:r w:rsidR="00827734" w:rsidRPr="00A050B6">
        <w:t>equipment</w:t>
      </w:r>
      <w:r w:rsidRPr="00A050B6">
        <w:t xml:space="preserve"> are shown in Ta</w:t>
      </w:r>
      <w:r w:rsidR="008621B1" w:rsidRPr="00A050B6">
        <w:t>ble</w:t>
      </w:r>
      <w:r w:rsidR="00C37D71">
        <w:t>s</w:t>
      </w:r>
      <w:r w:rsidR="008621B1" w:rsidRPr="00A050B6">
        <w:t xml:space="preserve"> 2a and </w:t>
      </w:r>
      <w:r w:rsidRPr="00A050B6">
        <w:t>2b. Prior to beam data measurements the water phantom system has been benchmarked. In these test phantom has been pro</w:t>
      </w:r>
      <w:r w:rsidRPr="00A050B6">
        <w:t>v</w:t>
      </w:r>
      <w:r w:rsidRPr="00A050B6">
        <w:t>en to be as good as new</w:t>
      </w:r>
      <w:r w:rsidR="00827734" w:rsidRPr="00A050B6">
        <w:t>.</w:t>
      </w:r>
    </w:p>
    <w:p w:rsidR="00FA24E9" w:rsidRPr="00A050B6" w:rsidRDefault="00FA24E9" w:rsidP="00FA24E9">
      <w:pPr>
        <w:jc w:val="both"/>
      </w:pPr>
    </w:p>
    <w:p w:rsidR="00FA24E9" w:rsidRPr="00A050B6" w:rsidRDefault="00FA24E9" w:rsidP="00FA24E9">
      <w:pPr>
        <w:jc w:val="both"/>
        <w:rPr>
          <w:b/>
          <w:sz w:val="18"/>
          <w:szCs w:val="18"/>
        </w:rPr>
      </w:pPr>
      <w:proofErr w:type="gramStart"/>
      <w:r w:rsidRPr="00A050B6">
        <w:rPr>
          <w:b/>
          <w:sz w:val="18"/>
          <w:szCs w:val="18"/>
        </w:rPr>
        <w:t xml:space="preserve">Table </w:t>
      </w:r>
      <w:proofErr w:type="gramEnd"/>
      <w:r w:rsidRPr="00A050B6">
        <w:rPr>
          <w:b/>
          <w:sz w:val="18"/>
          <w:szCs w:val="18"/>
        </w:rPr>
        <w:fldChar w:fldCharType="begin"/>
      </w:r>
      <w:r w:rsidRPr="00A050B6">
        <w:rPr>
          <w:b/>
          <w:sz w:val="18"/>
          <w:szCs w:val="18"/>
        </w:rPr>
        <w:instrText xml:space="preserve"> SEQ Table \* ARABIC </w:instrText>
      </w:r>
      <w:r w:rsidRPr="00A050B6">
        <w:rPr>
          <w:b/>
          <w:sz w:val="18"/>
          <w:szCs w:val="18"/>
        </w:rPr>
        <w:fldChar w:fldCharType="separate"/>
      </w:r>
      <w:r w:rsidR="00181E99">
        <w:rPr>
          <w:b/>
          <w:noProof/>
          <w:sz w:val="18"/>
          <w:szCs w:val="18"/>
        </w:rPr>
        <w:t>4</w:t>
      </w:r>
      <w:r w:rsidRPr="00A050B6">
        <w:rPr>
          <w:b/>
          <w:sz w:val="18"/>
          <w:szCs w:val="18"/>
        </w:rPr>
        <w:fldChar w:fldCharType="end"/>
      </w:r>
      <w:proofErr w:type="gramStart"/>
      <w:r w:rsidRPr="00A050B6">
        <w:rPr>
          <w:b/>
          <w:sz w:val="18"/>
          <w:szCs w:val="18"/>
        </w:rPr>
        <w:t xml:space="preserve">a. </w:t>
      </w:r>
      <w:r w:rsidR="00D14519" w:rsidRPr="00A050B6">
        <w:rPr>
          <w:b/>
          <w:sz w:val="18"/>
          <w:szCs w:val="18"/>
        </w:rPr>
        <w:t>Beam data m</w:t>
      </w:r>
      <w:r w:rsidRPr="00A050B6">
        <w:rPr>
          <w:b/>
          <w:sz w:val="18"/>
          <w:szCs w:val="18"/>
        </w:rPr>
        <w:t>easurement equipment - overview.</w:t>
      </w:r>
      <w:proofErr w:type="gramEnd"/>
      <w:r w:rsidRPr="00A050B6">
        <w:rPr>
          <w:b/>
          <w:sz w:val="18"/>
          <w:szCs w:val="18"/>
        </w:rPr>
        <w:t xml:space="preserve"> </w:t>
      </w:r>
    </w:p>
    <w:tbl>
      <w:tblPr>
        <w:tblW w:w="964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00CCFF"/>
        <w:tblLayout w:type="fixed"/>
        <w:tblLook w:val="0000" w:firstRow="0" w:lastRow="0" w:firstColumn="0" w:lastColumn="0" w:noHBand="0" w:noVBand="0"/>
      </w:tblPr>
      <w:tblGrid>
        <w:gridCol w:w="4820"/>
        <w:gridCol w:w="4820"/>
      </w:tblGrid>
      <w:tr w:rsidR="00FA24E9" w:rsidRPr="00A050B6" w:rsidTr="0002371E">
        <w:tblPrEx>
          <w:tblCellMar>
            <w:top w:w="0" w:type="dxa"/>
            <w:bottom w:w="0" w:type="dxa"/>
          </w:tblCellMar>
        </w:tblPrEx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>Water Pha</w:t>
            </w:r>
            <w:r w:rsidRPr="00A050B6">
              <w:t>n</w:t>
            </w:r>
            <w:r w:rsidRPr="00A050B6">
              <w:t>tom System</w:t>
            </w:r>
          </w:p>
        </w:tc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 xml:space="preserve">IBA Dosimetry GmbH </w:t>
            </w:r>
          </w:p>
          <w:p w:rsidR="00FA24E9" w:rsidRPr="00A050B6" w:rsidRDefault="00FA24E9" w:rsidP="0002371E">
            <w:pPr>
              <w:jc w:val="both"/>
            </w:pPr>
            <w:r w:rsidRPr="00A050B6">
              <w:t xml:space="preserve"> - Blue Phantom 2         </w:t>
            </w:r>
            <w:r w:rsidR="00C57052" w:rsidRPr="00A050B6">
              <w:t xml:space="preserve">    </w:t>
            </w:r>
            <w:r w:rsidRPr="00A050B6">
              <w:t xml:space="preserve">- water phantom  </w:t>
            </w:r>
          </w:p>
          <w:p w:rsidR="00FA24E9" w:rsidRPr="00A050B6" w:rsidRDefault="00FA24E9" w:rsidP="0002371E">
            <w:pPr>
              <w:jc w:val="both"/>
            </w:pPr>
            <w:r w:rsidRPr="00A050B6">
              <w:t xml:space="preserve"> - CCU                           </w:t>
            </w:r>
            <w:r w:rsidR="00C57052" w:rsidRPr="00A050B6">
              <w:t xml:space="preserve">  </w:t>
            </w:r>
            <w:r w:rsidRPr="00A050B6">
              <w:t>- electrometer</w:t>
            </w:r>
          </w:p>
          <w:p w:rsidR="00FA24E9" w:rsidRPr="00A050B6" w:rsidRDefault="00FA24E9" w:rsidP="0002371E">
            <w:pPr>
              <w:jc w:val="both"/>
            </w:pPr>
            <w:r w:rsidRPr="00A050B6">
              <w:t xml:space="preserve"> - OmniPro Accept 7.1a </w:t>
            </w:r>
            <w:r w:rsidR="00C57052" w:rsidRPr="00A050B6">
              <w:t xml:space="preserve">   </w:t>
            </w:r>
            <w:r w:rsidRPr="00A050B6">
              <w:t>- software</w:t>
            </w:r>
          </w:p>
        </w:tc>
      </w:tr>
      <w:tr w:rsidR="00FA24E9" w:rsidRPr="00A050B6" w:rsidTr="0002371E">
        <w:tblPrEx>
          <w:tblCellMar>
            <w:top w:w="0" w:type="dxa"/>
            <w:bottom w:w="0" w:type="dxa"/>
          </w:tblCellMar>
        </w:tblPrEx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>Ionization Cha</w:t>
            </w:r>
            <w:r w:rsidRPr="00A050B6">
              <w:t>m</w:t>
            </w:r>
            <w:r w:rsidRPr="00A050B6">
              <w:t>ber(s)</w:t>
            </w:r>
          </w:p>
        </w:tc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 xml:space="preserve">IBA Dosimetry GmbH </w:t>
            </w:r>
          </w:p>
          <w:p w:rsidR="00FA24E9" w:rsidRPr="00A050B6" w:rsidRDefault="00FA24E9" w:rsidP="0002371E">
            <w:pPr>
              <w:jc w:val="both"/>
            </w:pPr>
            <w:r w:rsidRPr="00A050B6">
              <w:t>- IC13  (sn:9917)                    (Field</w:t>
            </w:r>
            <w:r w:rsidR="00D14519" w:rsidRPr="00A050B6">
              <w:t>, Photons</w:t>
            </w:r>
            <w:r w:rsidRPr="00A050B6">
              <w:t>)</w:t>
            </w:r>
          </w:p>
          <w:p w:rsidR="00FA24E9" w:rsidRPr="00A050B6" w:rsidRDefault="00FA24E9" w:rsidP="0002371E">
            <w:pPr>
              <w:jc w:val="both"/>
            </w:pPr>
            <w:r w:rsidRPr="00A050B6">
              <w:t>- IC13  (sn:9918)                    (Reference)</w:t>
            </w:r>
          </w:p>
          <w:p w:rsidR="00D14519" w:rsidRPr="00A050B6" w:rsidRDefault="00D14519" w:rsidP="0002371E">
            <w:pPr>
              <w:jc w:val="both"/>
            </w:pPr>
            <w:r w:rsidRPr="00A050B6">
              <w:t>PTW-Freiburg GmbH</w:t>
            </w:r>
          </w:p>
          <w:p w:rsidR="00D14519" w:rsidRPr="00A050B6" w:rsidRDefault="00D14519" w:rsidP="00D14519">
            <w:pPr>
              <w:jc w:val="both"/>
            </w:pPr>
            <w:r w:rsidRPr="00A050B6">
              <w:t>- ROOS  (sn:0983)                 (Field, Electrons)</w:t>
            </w:r>
          </w:p>
        </w:tc>
      </w:tr>
      <w:tr w:rsidR="00FA24E9" w:rsidRPr="00A050B6" w:rsidTr="0002371E">
        <w:tblPrEx>
          <w:tblCellMar>
            <w:top w:w="0" w:type="dxa"/>
            <w:bottom w:w="0" w:type="dxa"/>
          </w:tblCellMar>
        </w:tblPrEx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>Diode(s)</w:t>
            </w:r>
          </w:p>
        </w:tc>
        <w:tc>
          <w:tcPr>
            <w:tcW w:w="4820" w:type="dxa"/>
            <w:shd w:val="clear" w:color="auto" w:fill="00CCFF"/>
          </w:tcPr>
          <w:p w:rsidR="00FA24E9" w:rsidRPr="00A050B6" w:rsidRDefault="00FA24E9" w:rsidP="0002371E">
            <w:pPr>
              <w:jc w:val="both"/>
            </w:pPr>
            <w:r w:rsidRPr="00A050B6">
              <w:t>Sun Nuclear</w:t>
            </w:r>
          </w:p>
          <w:p w:rsidR="00FA24E9" w:rsidRPr="00A050B6" w:rsidRDefault="00FA24E9" w:rsidP="0002371E">
            <w:pPr>
              <w:jc w:val="both"/>
            </w:pPr>
            <w:r w:rsidRPr="00A050B6">
              <w:t xml:space="preserve"> - 1110000-3 (sn:1110038)      (Field)</w:t>
            </w:r>
          </w:p>
          <w:p w:rsidR="00FA24E9" w:rsidRPr="00A050B6" w:rsidRDefault="00FA24E9" w:rsidP="0002371E">
            <w:pPr>
              <w:jc w:val="both"/>
            </w:pPr>
            <w:r w:rsidRPr="00A050B6">
              <w:t xml:space="preserve"> - 1111000-3 (sn:1110066)      (Refe</w:t>
            </w:r>
            <w:r w:rsidRPr="00A050B6">
              <w:t>r</w:t>
            </w:r>
            <w:r w:rsidRPr="00A050B6">
              <w:t>ence)</w:t>
            </w:r>
          </w:p>
        </w:tc>
      </w:tr>
    </w:tbl>
    <w:p w:rsidR="00FA24E9" w:rsidRPr="00A050B6" w:rsidRDefault="00FA24E9" w:rsidP="00FA24E9">
      <w:pPr>
        <w:jc w:val="both"/>
      </w:pPr>
    </w:p>
    <w:p w:rsidR="00C17026" w:rsidRPr="00A050B6" w:rsidRDefault="00C17026" w:rsidP="00D14519">
      <w:pPr>
        <w:jc w:val="both"/>
        <w:rPr>
          <w:b/>
          <w:sz w:val="18"/>
          <w:szCs w:val="18"/>
        </w:rPr>
      </w:pPr>
    </w:p>
    <w:p w:rsidR="00FA24E9" w:rsidRPr="00A050B6" w:rsidRDefault="00FA24E9" w:rsidP="00D14519">
      <w:pPr>
        <w:jc w:val="both"/>
        <w:rPr>
          <w:b/>
          <w:sz w:val="18"/>
          <w:szCs w:val="18"/>
        </w:rPr>
      </w:pPr>
      <w:proofErr w:type="gramStart"/>
      <w:r w:rsidRPr="00A050B6">
        <w:rPr>
          <w:b/>
          <w:sz w:val="18"/>
          <w:szCs w:val="18"/>
        </w:rPr>
        <w:lastRenderedPageBreak/>
        <w:t xml:space="preserve">Table </w:t>
      </w:r>
      <w:r w:rsidR="00F91B71" w:rsidRPr="00A050B6">
        <w:rPr>
          <w:b/>
          <w:sz w:val="18"/>
          <w:szCs w:val="18"/>
        </w:rPr>
        <w:t>2</w:t>
      </w:r>
      <w:r w:rsidRPr="00A050B6">
        <w:rPr>
          <w:b/>
          <w:sz w:val="18"/>
          <w:szCs w:val="18"/>
        </w:rPr>
        <w:t>b.</w:t>
      </w:r>
      <w:proofErr w:type="gramEnd"/>
      <w:r w:rsidRPr="00A050B6">
        <w:rPr>
          <w:b/>
          <w:sz w:val="18"/>
          <w:szCs w:val="18"/>
        </w:rPr>
        <w:t xml:space="preserve"> </w:t>
      </w:r>
      <w:proofErr w:type="gramStart"/>
      <w:r w:rsidRPr="00A050B6">
        <w:rPr>
          <w:b/>
          <w:sz w:val="18"/>
          <w:szCs w:val="18"/>
        </w:rPr>
        <w:t>Measurement equipment – detector details.</w:t>
      </w:r>
      <w:proofErr w:type="gramEnd"/>
      <w:r w:rsidRPr="00A050B6">
        <w:rPr>
          <w:b/>
          <w:sz w:val="18"/>
          <w:szCs w:val="18"/>
        </w:rPr>
        <w:t xml:space="preserve"> </w:t>
      </w:r>
    </w:p>
    <w:tbl>
      <w:tblPr>
        <w:tblW w:w="9554" w:type="dxa"/>
        <w:jc w:val="center"/>
        <w:tblInd w:w="55" w:type="dxa"/>
        <w:shd w:val="clear" w:color="auto" w:fill="00CC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7"/>
        <w:gridCol w:w="2329"/>
        <w:gridCol w:w="2329"/>
        <w:gridCol w:w="2329"/>
      </w:tblGrid>
      <w:tr w:rsidR="00FA24E9" w:rsidRPr="00A050B6" w:rsidTr="00FA24E9">
        <w:trPr>
          <w:cantSplit/>
          <w:trHeight w:val="285"/>
          <w:jc w:val="center"/>
        </w:trPr>
        <w:tc>
          <w:tcPr>
            <w:tcW w:w="2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b/>
                <w:bCs/>
                <w:lang w:eastAsia="fi-FI"/>
              </w:rPr>
            </w:pPr>
            <w:r w:rsidRPr="00A050B6">
              <w:rPr>
                <w:rFonts w:cs="Arial"/>
                <w:b/>
                <w:bCs/>
                <w:lang w:eastAsia="fi-FI"/>
              </w:rPr>
              <w:t>Attribute</w:t>
            </w:r>
          </w:p>
        </w:tc>
        <w:tc>
          <w:tcPr>
            <w:tcW w:w="232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b/>
                <w:bCs/>
                <w:lang w:eastAsia="fi-FI"/>
              </w:rPr>
            </w:pPr>
            <w:r w:rsidRPr="00A050B6">
              <w:rPr>
                <w:rFonts w:cs="Arial"/>
                <w:b/>
                <w:bCs/>
                <w:lang w:eastAsia="fi-FI"/>
              </w:rPr>
              <w:t>Value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b/>
                <w:bCs/>
                <w:lang w:eastAsia="fi-FI"/>
              </w:rPr>
            </w:pPr>
            <w:r w:rsidRPr="00A050B6">
              <w:rPr>
                <w:rFonts w:cs="Arial"/>
                <w:b/>
                <w:bCs/>
                <w:lang w:eastAsia="fi-FI"/>
              </w:rPr>
              <w:t>Value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b/>
                <w:bCs/>
                <w:lang w:eastAsia="fi-FI"/>
              </w:rPr>
            </w:pPr>
            <w:r w:rsidRPr="00A050B6">
              <w:rPr>
                <w:rFonts w:cs="Arial"/>
                <w:b/>
                <w:bCs/>
                <w:lang w:eastAsia="fi-FI"/>
              </w:rPr>
              <w:t>Value</w:t>
            </w:r>
          </w:p>
        </w:tc>
      </w:tr>
      <w:tr w:rsidR="00FA24E9" w:rsidRPr="00A050B6" w:rsidTr="00FA24E9">
        <w:trPr>
          <w:cantSplit/>
          <w:trHeight w:val="270"/>
          <w:jc w:val="center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Instrument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IC13</w:t>
            </w:r>
            <w:r w:rsidR="00D14519" w:rsidRPr="00A050B6">
              <w:rPr>
                <w:rFonts w:cs="Arial"/>
                <w:lang w:eastAsia="fi-FI"/>
              </w:rPr>
              <w:t>, IBA</w:t>
            </w:r>
            <w:r w:rsidRPr="00A050B6">
              <w:rPr>
                <w:rFonts w:cs="Arial"/>
                <w:lang w:eastAsia="fi-FI"/>
              </w:rPr>
              <w:t xml:space="preserve"> (IC)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SunNuclear (Di</w:t>
            </w:r>
            <w:r w:rsidRPr="00A050B6">
              <w:rPr>
                <w:rFonts w:cs="Arial"/>
                <w:lang w:eastAsia="fi-FI"/>
              </w:rPr>
              <w:t>o</w:t>
            </w:r>
            <w:r w:rsidRPr="00A050B6">
              <w:rPr>
                <w:rFonts w:cs="Arial"/>
                <w:lang w:eastAsia="fi-FI"/>
              </w:rPr>
              <w:t>de)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D14519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ROOS</w:t>
            </w:r>
            <w:r w:rsidR="00D14519" w:rsidRPr="00A050B6">
              <w:rPr>
                <w:rFonts w:cs="Arial"/>
                <w:lang w:eastAsia="fi-FI"/>
              </w:rPr>
              <w:t>, PTW (IC)</w:t>
            </w:r>
          </w:p>
        </w:tc>
      </w:tr>
      <w:tr w:rsidR="00FA24E9" w:rsidRPr="00A050B6" w:rsidTr="00FA24E9">
        <w:trPr>
          <w:trHeight w:val="255"/>
          <w:jc w:val="center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Detector Type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Ionization chamber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Diode detector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Ionization chamber</w:t>
            </w:r>
          </w:p>
        </w:tc>
      </w:tr>
      <w:tr w:rsidR="00FA24E9" w:rsidRPr="00A050B6" w:rsidTr="00FA24E9">
        <w:trPr>
          <w:trHeight w:val="255"/>
          <w:jc w:val="center"/>
        </w:trPr>
        <w:tc>
          <w:tcPr>
            <w:tcW w:w="2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Nominal Vol</w:t>
            </w:r>
            <w:r w:rsidRPr="00A050B6">
              <w:rPr>
                <w:rFonts w:cs="Arial"/>
                <w:lang w:eastAsia="fi-FI"/>
              </w:rPr>
              <w:t>u</w:t>
            </w:r>
            <w:r w:rsidRPr="00A050B6">
              <w:rPr>
                <w:rFonts w:cs="Arial"/>
                <w:lang w:eastAsia="fi-FI"/>
              </w:rPr>
              <w:t>me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0.13</w:t>
            </w:r>
            <w:r w:rsidR="00CA2FBC" w:rsidRPr="00A050B6">
              <w:rPr>
                <w:rFonts w:cs="Arial"/>
                <w:lang w:eastAsia="fi-FI"/>
              </w:rPr>
              <w:t xml:space="preserve"> </w:t>
            </w:r>
            <w:r w:rsidRPr="00A050B6">
              <w:rPr>
                <w:rFonts w:cs="Arial"/>
                <w:lang w:eastAsia="fi-FI"/>
              </w:rPr>
              <w:t>cm</w:t>
            </w:r>
            <w:r w:rsidRPr="00A050B6">
              <w:rPr>
                <w:rFonts w:cs="Arial"/>
                <w:vertAlign w:val="superscript"/>
                <w:lang w:eastAsia="fi-FI"/>
              </w:rPr>
              <w:t>3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0.2 μm</w:t>
            </w:r>
            <w:r w:rsidRPr="00A050B6">
              <w:rPr>
                <w:rFonts w:cs="Arial"/>
                <w:vertAlign w:val="superscript"/>
                <w:lang w:eastAsia="fi-FI"/>
              </w:rPr>
              <w:t>3</w:t>
            </w:r>
          </w:p>
        </w:tc>
        <w:tc>
          <w:tcPr>
            <w:tcW w:w="23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0.35 cm</w:t>
            </w:r>
            <w:r w:rsidRPr="00A050B6">
              <w:rPr>
                <w:rFonts w:cs="Arial"/>
                <w:vertAlign w:val="superscript"/>
                <w:lang w:eastAsia="fi-FI"/>
              </w:rPr>
              <w:t>3</w:t>
            </w:r>
          </w:p>
        </w:tc>
      </w:tr>
      <w:tr w:rsidR="00FA24E9" w:rsidRPr="00A050B6" w:rsidTr="00FA24E9">
        <w:trPr>
          <w:trHeight w:val="270"/>
          <w:jc w:val="center"/>
        </w:trPr>
        <w:tc>
          <w:tcPr>
            <w:tcW w:w="2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 xml:space="preserve">Sensitive Volume 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Ø 0.6 cm — 0.6 cm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Ø 0.2 cm — 0.03 cm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CA2FBC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Ø 1.5 cm — 0.2 cm</w:t>
            </w:r>
          </w:p>
        </w:tc>
      </w:tr>
      <w:tr w:rsidR="00FA24E9" w:rsidRPr="00A050B6" w:rsidTr="00FA24E9">
        <w:trPr>
          <w:trHeight w:val="270"/>
          <w:jc w:val="center"/>
        </w:trPr>
        <w:tc>
          <w:tcPr>
            <w:tcW w:w="2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Sensitivity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3.5 nC/Gy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47.5 nC/Gy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D14519" w:rsidP="00D14519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11.0 nC/Gy</w:t>
            </w:r>
          </w:p>
        </w:tc>
      </w:tr>
      <w:tr w:rsidR="00FA24E9" w:rsidRPr="00A050B6" w:rsidTr="00FA24E9">
        <w:trPr>
          <w:trHeight w:val="270"/>
          <w:jc w:val="center"/>
        </w:trPr>
        <w:tc>
          <w:tcPr>
            <w:tcW w:w="2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Charge Collection P</w:t>
            </w:r>
            <w:r w:rsidRPr="00A050B6">
              <w:rPr>
                <w:rFonts w:cs="Arial"/>
                <w:lang w:eastAsia="fi-FI"/>
              </w:rPr>
              <w:t>o</w:t>
            </w:r>
            <w:r w:rsidRPr="00A050B6">
              <w:rPr>
                <w:rFonts w:cs="Arial"/>
                <w:lang w:eastAsia="fi-FI"/>
              </w:rPr>
              <w:t>tential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300</w:t>
            </w:r>
            <w:r w:rsidR="00FA24E9" w:rsidRPr="00A050B6">
              <w:rPr>
                <w:rFonts w:cs="Arial"/>
                <w:lang w:eastAsia="fi-FI"/>
              </w:rPr>
              <w:t xml:space="preserve"> V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FA24E9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0 V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00CCFF"/>
          </w:tcPr>
          <w:p w:rsidR="00FA24E9" w:rsidRPr="00A050B6" w:rsidRDefault="00CA2FBC" w:rsidP="0002371E">
            <w:pPr>
              <w:jc w:val="both"/>
              <w:rPr>
                <w:rFonts w:cs="Arial"/>
                <w:lang w:eastAsia="fi-FI"/>
              </w:rPr>
            </w:pPr>
            <w:r w:rsidRPr="00A050B6">
              <w:rPr>
                <w:rFonts w:cs="Arial"/>
                <w:lang w:eastAsia="fi-FI"/>
              </w:rPr>
              <w:t>200 V</w:t>
            </w:r>
          </w:p>
        </w:tc>
      </w:tr>
    </w:tbl>
    <w:p w:rsidR="00C17026" w:rsidRPr="00A050B6" w:rsidRDefault="00C17026" w:rsidP="00FA24E9">
      <w:pPr>
        <w:pStyle w:val="Otsikko3"/>
        <w:jc w:val="both"/>
        <w:rPr>
          <w:sz w:val="22"/>
          <w:szCs w:val="22"/>
        </w:rPr>
      </w:pPr>
    </w:p>
    <w:p w:rsidR="00FA24E9" w:rsidRPr="00A050B6" w:rsidRDefault="00FA24E9" w:rsidP="00FA24E9">
      <w:pPr>
        <w:pStyle w:val="Otsikko3"/>
        <w:jc w:val="both"/>
        <w:rPr>
          <w:sz w:val="22"/>
          <w:szCs w:val="22"/>
        </w:rPr>
      </w:pPr>
      <w:r w:rsidRPr="00A050B6">
        <w:rPr>
          <w:sz w:val="22"/>
          <w:szCs w:val="22"/>
        </w:rPr>
        <w:t>Measurement Setups</w:t>
      </w:r>
    </w:p>
    <w:p w:rsidR="00C17026" w:rsidRPr="00A050B6" w:rsidRDefault="00C17026" w:rsidP="00FA24E9">
      <w:pPr>
        <w:jc w:val="both"/>
      </w:pPr>
    </w:p>
    <w:p w:rsidR="00FA24E9" w:rsidRPr="00A050B6" w:rsidRDefault="00FA24E9" w:rsidP="00FA24E9">
      <w:pPr>
        <w:jc w:val="both"/>
      </w:pPr>
      <w:r w:rsidRPr="00A050B6">
        <w:t>Machine geometry: Gantry 0</w:t>
      </w:r>
      <w:r w:rsidRPr="00A050B6">
        <w:rPr>
          <w:vertAlign w:val="superscript"/>
        </w:rPr>
        <w:t>o</w:t>
      </w:r>
      <w:r w:rsidRPr="00A050B6">
        <w:t xml:space="preserve"> and Collimator 0</w:t>
      </w:r>
      <w:r w:rsidRPr="00A050B6">
        <w:rPr>
          <w:vertAlign w:val="superscript"/>
        </w:rPr>
        <w:t>o</w:t>
      </w:r>
      <w:r w:rsidRPr="00A050B6">
        <w:t xml:space="preserve"> </w:t>
      </w:r>
      <w:r w:rsidR="005A1B3A">
        <w:t>has been</w:t>
      </w:r>
      <w:r w:rsidRPr="00A050B6">
        <w:t xml:space="preserve"> used (see figure 1). Phantom alignment, gantry’s tilt angles and detector localization (position of field center) </w:t>
      </w:r>
      <w:r w:rsidR="005A1B3A">
        <w:t xml:space="preserve">have been </w:t>
      </w:r>
      <w:r w:rsidRPr="00A050B6">
        <w:t>ensured with profile measur</w:t>
      </w:r>
      <w:r w:rsidRPr="00A050B6">
        <w:t>e</w:t>
      </w:r>
      <w:r w:rsidRPr="00A050B6">
        <w:t xml:space="preserve">ments before beam data collection. </w:t>
      </w:r>
    </w:p>
    <w:p w:rsidR="00FA24E9" w:rsidRPr="00A050B6" w:rsidRDefault="00FA24E9" w:rsidP="00D14519">
      <w:pPr>
        <w:jc w:val="both"/>
      </w:pPr>
    </w:p>
    <w:p w:rsidR="00D14519" w:rsidRPr="00A050B6" w:rsidRDefault="00FA24E9" w:rsidP="00FA24E9">
      <w:pPr>
        <w:jc w:val="both"/>
      </w:pPr>
      <w:r w:rsidRPr="00A050B6">
        <w:t xml:space="preserve">Ionization chamber, IC13 </w:t>
      </w:r>
      <w:r w:rsidR="005A1B3A">
        <w:t xml:space="preserve">has been </w:t>
      </w:r>
      <w:r w:rsidRPr="00A050B6">
        <w:t>positioned horizontally to Blue Phantoms robotic arm in all measur</w:t>
      </w:r>
      <w:r w:rsidRPr="00A050B6">
        <w:t>e</w:t>
      </w:r>
      <w:r w:rsidRPr="00A050B6">
        <w:t xml:space="preserve">ment situations. On the other hand diode detector </w:t>
      </w:r>
      <w:r w:rsidR="005A1B3A">
        <w:t xml:space="preserve">has been </w:t>
      </w:r>
      <w:r w:rsidRPr="00A050B6">
        <w:t>setup vertically (instruments tail pointing to positive depth direction)</w:t>
      </w:r>
      <w:r w:rsidR="005A1B3A">
        <w:t xml:space="preserve"> as well as</w:t>
      </w:r>
      <w:r w:rsidR="00A01BDA" w:rsidRPr="00A050B6">
        <w:t xml:space="preserve"> Roos chamber (instruments rotation axis pa</w:t>
      </w:r>
      <w:r w:rsidR="00A01BDA" w:rsidRPr="00A050B6">
        <w:t>r</w:t>
      </w:r>
      <w:r w:rsidR="00A01BDA" w:rsidRPr="00A050B6">
        <w:t>allel to beam axis).</w:t>
      </w:r>
      <w:r w:rsidRPr="00A050B6">
        <w:t xml:space="preserve"> Depth directional placement of IC13 chambers </w:t>
      </w:r>
      <w:r w:rsidR="005A1B3A">
        <w:t>has been m</w:t>
      </w:r>
      <w:r w:rsidRPr="00A050B6">
        <w:t>ade using water surface in other words we pos</w:t>
      </w:r>
      <w:r w:rsidRPr="00A050B6">
        <w:t>i</w:t>
      </w:r>
      <w:r w:rsidRPr="00A050B6">
        <w:t>tioned ionization chamber’s rotation axis to water surface to normalize detectors depth directional setup. In mea</w:t>
      </w:r>
      <w:r w:rsidRPr="00A050B6">
        <w:t>s</w:t>
      </w:r>
      <w:r w:rsidRPr="00A050B6">
        <w:t xml:space="preserve">urement situations we used </w:t>
      </w:r>
      <w:r w:rsidR="005A1B3A">
        <w:t>-</w:t>
      </w:r>
      <w:r w:rsidR="00A01BDA" w:rsidRPr="00A050B6">
        <w:t>1.5 mm</w:t>
      </w:r>
      <w:r w:rsidRPr="00A050B6">
        <w:t xml:space="preserve"> shift to correct position deviation between effective mea</w:t>
      </w:r>
      <w:r w:rsidRPr="00A050B6">
        <w:t>s</w:t>
      </w:r>
      <w:r w:rsidRPr="00A050B6">
        <w:t>urement point and chambers axis.</w:t>
      </w:r>
      <w:r w:rsidR="008621B1" w:rsidRPr="00A050B6">
        <w:t xml:space="preserve"> Roos chamber’s depth directional setup </w:t>
      </w:r>
      <w:r w:rsidR="005A1B3A">
        <w:t xml:space="preserve">has also been </w:t>
      </w:r>
      <w:r w:rsidR="008621B1" w:rsidRPr="00A050B6">
        <w:t>made using water su</w:t>
      </w:r>
      <w:r w:rsidR="008621B1" w:rsidRPr="00A050B6">
        <w:t>r</w:t>
      </w:r>
      <w:r w:rsidR="008621B1" w:rsidRPr="00A050B6">
        <w:t xml:space="preserve">face. Chambers front surface </w:t>
      </w:r>
      <w:r w:rsidR="005A1B3A">
        <w:t>was</w:t>
      </w:r>
      <w:r w:rsidR="00A01BDA" w:rsidRPr="00A050B6">
        <w:t xml:space="preserve"> </w:t>
      </w:r>
      <w:r w:rsidR="008621B1" w:rsidRPr="00A050B6">
        <w:t xml:space="preserve">set to water level. In measurement situations we used 1.0 mm shift to correct position deviation between effective measurement point and chambers front surface. </w:t>
      </w:r>
      <w:r w:rsidRPr="00A050B6">
        <w:t>Diode dete</w:t>
      </w:r>
      <w:r w:rsidRPr="00A050B6">
        <w:t>c</w:t>
      </w:r>
      <w:r w:rsidR="00984FB0" w:rsidRPr="00A050B6">
        <w:t>tor</w:t>
      </w:r>
      <w:r w:rsidRPr="00A050B6">
        <w:t xml:space="preserve">s depth directional setup </w:t>
      </w:r>
      <w:r w:rsidR="005A1B3A">
        <w:t xml:space="preserve">has been </w:t>
      </w:r>
      <w:r w:rsidR="00D14519" w:rsidRPr="00A050B6">
        <w:t xml:space="preserve">made </w:t>
      </w:r>
      <w:r w:rsidR="008621B1" w:rsidRPr="00A050B6">
        <w:t>cross-referring</w:t>
      </w:r>
      <w:r w:rsidR="00D14519" w:rsidRPr="00A050B6">
        <w:t xml:space="preserve"> to </w:t>
      </w:r>
      <w:r w:rsidR="008621B1" w:rsidRPr="00A050B6">
        <w:t xml:space="preserve">depth dose profile measured with </w:t>
      </w:r>
      <w:r w:rsidR="00D14519" w:rsidRPr="00A050B6">
        <w:t>IC13 o</w:t>
      </w:r>
      <w:r w:rsidR="008621B1" w:rsidRPr="00A050B6">
        <w:t>r</w:t>
      </w:r>
      <w:r w:rsidR="00D14519" w:rsidRPr="00A050B6">
        <w:t xml:space="preserve"> ROOS cha</w:t>
      </w:r>
      <w:r w:rsidR="00D14519" w:rsidRPr="00A050B6">
        <w:t>m</w:t>
      </w:r>
      <w:r w:rsidR="00D14519" w:rsidRPr="00A050B6">
        <w:t>ber</w:t>
      </w:r>
      <w:r w:rsidR="008621B1" w:rsidRPr="00A050B6">
        <w:t>.</w:t>
      </w:r>
      <w:r w:rsidR="00D14519" w:rsidRPr="00A050B6">
        <w:t xml:space="preserve"> </w:t>
      </w:r>
    </w:p>
    <w:p w:rsidR="00D14519" w:rsidRPr="00A050B6" w:rsidRDefault="00D14519" w:rsidP="00FA24E9">
      <w:pPr>
        <w:jc w:val="both"/>
      </w:pPr>
    </w:p>
    <w:p w:rsidR="00FA24E9" w:rsidRPr="00A050B6" w:rsidRDefault="00FA24E9" w:rsidP="00FA24E9">
      <w:pPr>
        <w:jc w:val="both"/>
      </w:pPr>
      <w:r w:rsidRPr="00A050B6">
        <w:t xml:space="preserve">Profile measurements </w:t>
      </w:r>
      <w:r w:rsidR="005A1B3A">
        <w:t xml:space="preserve">have been </w:t>
      </w:r>
      <w:r w:rsidR="0002371E" w:rsidRPr="00A050B6">
        <w:t>made using reference detector</w:t>
      </w:r>
      <w:r w:rsidRPr="00A050B6">
        <w:t xml:space="preserve"> </w:t>
      </w:r>
      <w:r w:rsidR="008621B1" w:rsidRPr="00A050B6">
        <w:t>whenever possible. Reference dete</w:t>
      </w:r>
      <w:r w:rsidR="008621B1" w:rsidRPr="00A050B6">
        <w:t>c</w:t>
      </w:r>
      <w:r w:rsidR="008621B1" w:rsidRPr="00A050B6">
        <w:t>tor</w:t>
      </w:r>
      <w:r w:rsidR="005A1B3A">
        <w:t xml:space="preserve"> has been </w:t>
      </w:r>
      <w:r w:rsidR="008621B1" w:rsidRPr="00A050B6">
        <w:t xml:space="preserve">positioned in air. </w:t>
      </w:r>
      <w:r w:rsidRPr="00A050B6">
        <w:t xml:space="preserve">Use of the reference </w:t>
      </w:r>
      <w:r w:rsidR="00984FB0" w:rsidRPr="00A050B6">
        <w:t xml:space="preserve">detector </w:t>
      </w:r>
      <w:r w:rsidRPr="00A050B6">
        <w:t>enables use of “continuous” –measurement mode, in which fie</w:t>
      </w:r>
      <w:r w:rsidR="00EC3258">
        <w:t>l</w:t>
      </w:r>
      <w:r w:rsidRPr="00A050B6">
        <w:t xml:space="preserve">d chamber moves continuously trough the measurement profile. </w:t>
      </w:r>
      <w:r w:rsidR="008621B1" w:rsidRPr="00A050B6">
        <w:t>When reference dete</w:t>
      </w:r>
      <w:r w:rsidR="008621B1" w:rsidRPr="00A050B6">
        <w:t>c</w:t>
      </w:r>
      <w:r w:rsidR="008621B1" w:rsidRPr="00A050B6">
        <w:t>to</w:t>
      </w:r>
      <w:r w:rsidR="005A1B3A">
        <w:t xml:space="preserve">r has been </w:t>
      </w:r>
      <w:r w:rsidR="008621B1" w:rsidRPr="00A050B6">
        <w:t xml:space="preserve">used </w:t>
      </w:r>
      <w:r w:rsidR="00984FB0" w:rsidRPr="00A050B6">
        <w:t xml:space="preserve">presented </w:t>
      </w:r>
      <w:r w:rsidR="008621B1" w:rsidRPr="00A050B6">
        <w:t>measurement result is ratio between field instrument</w:t>
      </w:r>
      <w:r w:rsidR="00984FB0" w:rsidRPr="00A050B6">
        <w:t>s readout</w:t>
      </w:r>
      <w:r w:rsidR="008621B1" w:rsidRPr="00A050B6">
        <w:t xml:space="preserve"> and reference d</w:t>
      </w:r>
      <w:r w:rsidR="008621B1" w:rsidRPr="00A050B6">
        <w:t>e</w:t>
      </w:r>
      <w:r w:rsidR="008621B1" w:rsidRPr="00A050B6">
        <w:t>tector</w:t>
      </w:r>
      <w:r w:rsidR="00984FB0" w:rsidRPr="00A050B6">
        <w:t>s readout</w:t>
      </w:r>
      <w:r w:rsidR="008621B1" w:rsidRPr="00A050B6">
        <w:t>.</w:t>
      </w:r>
    </w:p>
    <w:p w:rsidR="0047737D" w:rsidRPr="00A050B6" w:rsidRDefault="0047737D" w:rsidP="0085301A">
      <w:pPr>
        <w:pStyle w:val="normalBodytext"/>
        <w:jc w:val="both"/>
      </w:pPr>
    </w:p>
    <w:p w:rsidR="007D184B" w:rsidRPr="00A050B6" w:rsidRDefault="007D184B" w:rsidP="007D184B">
      <w:pPr>
        <w:pStyle w:val="Otsikko3"/>
        <w:jc w:val="both"/>
        <w:rPr>
          <w:sz w:val="22"/>
          <w:szCs w:val="22"/>
        </w:rPr>
      </w:pPr>
      <w:r w:rsidRPr="00A050B6">
        <w:rPr>
          <w:sz w:val="22"/>
          <w:szCs w:val="22"/>
        </w:rPr>
        <w:t>Predefined Absolute Dose Calibration</w:t>
      </w:r>
    </w:p>
    <w:p w:rsidR="007D184B" w:rsidRPr="00A050B6" w:rsidRDefault="007D184B" w:rsidP="007D184B">
      <w:pPr>
        <w:jc w:val="both"/>
      </w:pPr>
    </w:p>
    <w:p w:rsidR="007D184B" w:rsidRPr="00A050B6" w:rsidRDefault="007D184B" w:rsidP="007D184B">
      <w:pPr>
        <w:jc w:val="both"/>
      </w:pPr>
      <w:r w:rsidRPr="00A050B6">
        <w:rPr>
          <w:rFonts w:cs="Arial"/>
          <w:lang w:eastAsia="fi-FI"/>
        </w:rPr>
        <w:t xml:space="preserve">We have chosen following absolute </w:t>
      </w:r>
      <w:r w:rsidR="00EC3258">
        <w:rPr>
          <w:rFonts w:cs="Arial"/>
          <w:lang w:eastAsia="fi-FI"/>
        </w:rPr>
        <w:t xml:space="preserve">dose </w:t>
      </w:r>
      <w:r w:rsidRPr="00A050B6">
        <w:rPr>
          <w:rFonts w:cs="Arial"/>
          <w:lang w:eastAsia="fi-FI"/>
        </w:rPr>
        <w:t>calibration for studied treatment beams. To water medium dose of one</w:t>
      </w:r>
      <w:r w:rsidR="00EC3258">
        <w:rPr>
          <w:rFonts w:cs="Arial"/>
          <w:lang w:eastAsia="fi-FI"/>
        </w:rPr>
        <w:t xml:space="preserve"> G</w:t>
      </w:r>
      <w:r w:rsidRPr="00A050B6">
        <w:rPr>
          <w:rFonts w:cs="Arial"/>
          <w:lang w:eastAsia="fi-FI"/>
        </w:rPr>
        <w:t>ray (1.000 Gy) shall be created with hundred monitor units (100 MU) in next geometry and m</w:t>
      </w:r>
      <w:r w:rsidRPr="00A050B6">
        <w:rPr>
          <w:rFonts w:cs="Arial"/>
          <w:lang w:eastAsia="fi-FI"/>
        </w:rPr>
        <w:t>a</w:t>
      </w:r>
      <w:r w:rsidRPr="00A050B6">
        <w:rPr>
          <w:rFonts w:cs="Arial"/>
          <w:lang w:eastAsia="fi-FI"/>
        </w:rPr>
        <w:t>chine co</w:t>
      </w:r>
      <w:r w:rsidRPr="00A050B6">
        <w:rPr>
          <w:rFonts w:cs="Arial"/>
          <w:lang w:eastAsia="fi-FI"/>
        </w:rPr>
        <w:t>n</w:t>
      </w:r>
      <w:r w:rsidRPr="00A050B6">
        <w:rPr>
          <w:rFonts w:cs="Arial"/>
          <w:lang w:eastAsia="fi-FI"/>
        </w:rPr>
        <w:t>figuration:</w:t>
      </w:r>
    </w:p>
    <w:p w:rsidR="007D184B" w:rsidRPr="00A050B6" w:rsidRDefault="007D184B" w:rsidP="007D184B">
      <w:pPr>
        <w:jc w:val="both"/>
      </w:pP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 xml:space="preserve"> </w:t>
      </w:r>
      <w:r w:rsidRPr="00A050B6">
        <w:rPr>
          <w:rFonts w:cs="Arial"/>
          <w:lang w:eastAsia="fi-FI"/>
        </w:rPr>
        <w:tab/>
        <w:t>(1)</w:t>
      </w:r>
      <w:r w:rsidRPr="00A050B6">
        <w:rPr>
          <w:rFonts w:cs="Arial"/>
          <w:lang w:eastAsia="fi-FI"/>
        </w:rPr>
        <w:tab/>
      </w:r>
      <w:r w:rsidRPr="00A050B6">
        <w:t>Source to Phantom Distance 100.0 cm.</w:t>
      </w: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ab/>
      </w:r>
      <w:proofErr w:type="gramStart"/>
      <w:r w:rsidRPr="00A050B6">
        <w:rPr>
          <w:rFonts w:cs="Arial"/>
          <w:lang w:eastAsia="fi-FI"/>
        </w:rPr>
        <w:t>(2)</w:t>
      </w:r>
      <w:r w:rsidRPr="00A050B6">
        <w:rPr>
          <w:rFonts w:cs="Arial"/>
          <w:lang w:eastAsia="fi-FI"/>
        </w:rPr>
        <w:tab/>
        <w:t>Effective Point of Measurement at PDD</w:t>
      </w:r>
      <w:r w:rsidRPr="00A050B6">
        <w:rPr>
          <w:rFonts w:cs="Arial"/>
          <w:vertAlign w:val="subscript"/>
          <w:lang w:eastAsia="fi-FI"/>
        </w:rPr>
        <w:t>max</w:t>
      </w:r>
      <w:r w:rsidRPr="00A050B6">
        <w:rPr>
          <w:rFonts w:cs="Arial"/>
          <w:lang w:eastAsia="fi-FI"/>
        </w:rPr>
        <w:t xml:space="preserve"> depth.</w:t>
      </w:r>
      <w:proofErr w:type="gramEnd"/>
    </w:p>
    <w:p w:rsidR="007D184B" w:rsidRPr="00A050B6" w:rsidRDefault="007D184B" w:rsidP="007D184B">
      <w:pPr>
        <w:jc w:val="both"/>
        <w:rPr>
          <w:rFonts w:cs="Arial"/>
          <w:lang w:eastAsia="fi-FI"/>
        </w:rPr>
      </w:pP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 xml:space="preserve">       For photons:</w:t>
      </w:r>
    </w:p>
    <w:p w:rsidR="007D184B" w:rsidRPr="00A050B6" w:rsidRDefault="007D184B" w:rsidP="007D184B">
      <w:pPr>
        <w:jc w:val="both"/>
        <w:rPr>
          <w:rFonts w:cs="Arial"/>
          <w:lang w:eastAsia="fi-FI"/>
        </w:rPr>
      </w:pP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 xml:space="preserve"> </w:t>
      </w:r>
      <w:r w:rsidRPr="00A050B6">
        <w:rPr>
          <w:rFonts w:cs="Arial"/>
          <w:lang w:eastAsia="fi-FI"/>
        </w:rPr>
        <w:tab/>
      </w:r>
      <w:proofErr w:type="gramStart"/>
      <w:r w:rsidRPr="00A050B6">
        <w:rPr>
          <w:rFonts w:cs="Arial"/>
          <w:lang w:eastAsia="fi-FI"/>
        </w:rPr>
        <w:t xml:space="preserve">(3P) </w:t>
      </w:r>
      <w:r w:rsidRPr="00A050B6">
        <w:rPr>
          <w:rFonts w:cs="Arial"/>
          <w:lang w:eastAsia="fi-FI"/>
        </w:rPr>
        <w:tab/>
        <w:t>Field Size 10.0 x 10.0 cm</w:t>
      </w:r>
      <w:r w:rsidRPr="00A050B6">
        <w:rPr>
          <w:rFonts w:cs="Arial"/>
          <w:vertAlign w:val="superscript"/>
          <w:lang w:eastAsia="fi-FI"/>
        </w:rPr>
        <w:t>2</w:t>
      </w:r>
      <w:r w:rsidRPr="00A050B6">
        <w:rPr>
          <w:rFonts w:cs="Arial"/>
          <w:lang w:eastAsia="fi-FI"/>
        </w:rPr>
        <w:t>.</w:t>
      </w:r>
      <w:proofErr w:type="gramEnd"/>
      <w:r w:rsidRPr="00A050B6">
        <w:rPr>
          <w:rFonts w:cs="Arial"/>
          <w:lang w:eastAsia="fi-FI"/>
        </w:rPr>
        <w:t xml:space="preserve"> </w:t>
      </w: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ab/>
      </w: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 xml:space="preserve">       For electrons:</w:t>
      </w:r>
    </w:p>
    <w:p w:rsidR="007D184B" w:rsidRPr="00A050B6" w:rsidRDefault="007D184B" w:rsidP="007D184B">
      <w:pPr>
        <w:jc w:val="both"/>
        <w:rPr>
          <w:rFonts w:cs="Arial"/>
          <w:lang w:eastAsia="fi-FI"/>
        </w:rPr>
      </w:pPr>
    </w:p>
    <w:p w:rsidR="007D184B" w:rsidRPr="00A050B6" w:rsidRDefault="007D184B" w:rsidP="007D184B">
      <w:pPr>
        <w:jc w:val="both"/>
        <w:rPr>
          <w:rFonts w:cs="Arial"/>
          <w:lang w:eastAsia="fi-FI"/>
        </w:rPr>
      </w:pPr>
      <w:r w:rsidRPr="00A050B6">
        <w:rPr>
          <w:rFonts w:cs="Arial"/>
          <w:lang w:eastAsia="fi-FI"/>
        </w:rPr>
        <w:tab/>
        <w:t xml:space="preserve">(3E) </w:t>
      </w:r>
      <w:r w:rsidRPr="00A050B6">
        <w:rPr>
          <w:rFonts w:cs="Arial"/>
          <w:lang w:eastAsia="fi-FI"/>
        </w:rPr>
        <w:tab/>
        <w:t>Tubus Size 20.0 x 20.0 cm</w:t>
      </w:r>
      <w:r w:rsidRPr="00A050B6">
        <w:rPr>
          <w:rFonts w:cs="Arial"/>
          <w:vertAlign w:val="superscript"/>
          <w:lang w:eastAsia="fi-FI"/>
        </w:rPr>
        <w:t>2</w:t>
      </w:r>
      <w:r w:rsidRPr="00A050B6">
        <w:rPr>
          <w:rFonts w:cs="Arial"/>
          <w:lang w:eastAsia="fi-FI"/>
        </w:rPr>
        <w:t xml:space="preserve">. </w:t>
      </w:r>
    </w:p>
    <w:p w:rsidR="007D184B" w:rsidRPr="00A050B6" w:rsidRDefault="007D184B" w:rsidP="0085301A">
      <w:pPr>
        <w:pStyle w:val="normalBodytext"/>
        <w:jc w:val="both"/>
        <w:rPr>
          <w:rFonts w:ascii="Arial" w:hAnsi="Arial" w:cs="Arial"/>
          <w:lang w:eastAsia="fi-FI"/>
        </w:rPr>
      </w:pPr>
    </w:p>
    <w:p w:rsidR="00D5276C" w:rsidRPr="00A050B6" w:rsidRDefault="00D5276C" w:rsidP="0085301A">
      <w:pPr>
        <w:pStyle w:val="normalBodytext"/>
        <w:jc w:val="both"/>
      </w:pPr>
      <w:r w:rsidRPr="00A050B6">
        <w:rPr>
          <w:rFonts w:ascii="Arial" w:hAnsi="Arial" w:cs="Arial"/>
          <w:lang w:eastAsia="fi-FI"/>
        </w:rPr>
        <w:t>All beams have been calibrated prior to beam data collection.</w:t>
      </w:r>
    </w:p>
    <w:p w:rsidR="007D184B" w:rsidRPr="00A050B6" w:rsidRDefault="007D184B" w:rsidP="0085301A">
      <w:pPr>
        <w:pStyle w:val="normalBodytext"/>
        <w:jc w:val="both"/>
      </w:pPr>
    </w:p>
    <w:p w:rsidR="007D184B" w:rsidRPr="00A050B6" w:rsidRDefault="007D184B" w:rsidP="0085301A">
      <w:pPr>
        <w:pStyle w:val="normalBodytext"/>
        <w:jc w:val="both"/>
      </w:pPr>
    </w:p>
    <w:p w:rsidR="007D184B" w:rsidRPr="00A050B6" w:rsidRDefault="007D184B" w:rsidP="0085301A">
      <w:pPr>
        <w:pStyle w:val="normalBodytext"/>
        <w:jc w:val="both"/>
      </w:pPr>
    </w:p>
    <w:p w:rsidR="00A019E6" w:rsidRPr="00A050B6" w:rsidRDefault="00A019E6" w:rsidP="00A019E6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lastRenderedPageBreak/>
        <w:t>Results</w:t>
      </w:r>
    </w:p>
    <w:p w:rsidR="00901F62" w:rsidRPr="00A050B6" w:rsidRDefault="00901F62" w:rsidP="00901F62">
      <w:pPr>
        <w:rPr>
          <w:lang w:eastAsia="fi-FI"/>
        </w:rPr>
      </w:pPr>
    </w:p>
    <w:p w:rsidR="007D184B" w:rsidRPr="00A050B6" w:rsidRDefault="007D184B" w:rsidP="003B1FE6">
      <w:pPr>
        <w:pStyle w:val="Otsikko1"/>
        <w:jc w:val="both"/>
        <w:rPr>
          <w:sz w:val="22"/>
          <w:szCs w:val="22"/>
        </w:rPr>
      </w:pPr>
    </w:p>
    <w:p w:rsidR="003B1FE6" w:rsidRPr="00A050B6" w:rsidRDefault="007D184B" w:rsidP="003B1FE6">
      <w:pPr>
        <w:pStyle w:val="Otsikko1"/>
        <w:jc w:val="both"/>
        <w:rPr>
          <w:b w:val="0"/>
          <w:sz w:val="28"/>
          <w:szCs w:val="28"/>
        </w:rPr>
      </w:pPr>
      <w:r w:rsidRPr="00A050B6">
        <w:rPr>
          <w:sz w:val="22"/>
          <w:szCs w:val="22"/>
        </w:rPr>
        <w:t>Results</w:t>
      </w:r>
    </w:p>
    <w:p w:rsidR="002F2B6D" w:rsidRPr="00A050B6" w:rsidRDefault="002F2B6D" w:rsidP="00A019E6">
      <w:pPr>
        <w:jc w:val="both"/>
      </w:pPr>
    </w:p>
    <w:p w:rsidR="007D184B" w:rsidRPr="00A050B6" w:rsidRDefault="00A019E6" w:rsidP="00A019E6">
      <w:pPr>
        <w:jc w:val="both"/>
      </w:pPr>
      <w:r w:rsidRPr="00A050B6">
        <w:t xml:space="preserve">Measurement results delivered with this </w:t>
      </w:r>
      <w:r w:rsidR="00712EDB" w:rsidRPr="00A050B6">
        <w:t>document</w:t>
      </w:r>
      <w:r w:rsidR="00C17026" w:rsidRPr="00A050B6">
        <w:t xml:space="preserve"> </w:t>
      </w:r>
      <w:r w:rsidRPr="00A050B6">
        <w:t xml:space="preserve">are </w:t>
      </w:r>
      <w:r w:rsidR="00C5172B" w:rsidRPr="00A050B6">
        <w:t xml:space="preserve">presented </w:t>
      </w:r>
      <w:r w:rsidR="000138B4" w:rsidRPr="00A050B6">
        <w:t xml:space="preserve">primary </w:t>
      </w:r>
      <w:r w:rsidR="00C5172B" w:rsidRPr="00A050B6">
        <w:t>in w</w:t>
      </w:r>
      <w:r w:rsidRPr="00A050B6">
        <w:t>2CAD format</w:t>
      </w:r>
      <w:r w:rsidR="00117AFD">
        <w:t>.</w:t>
      </w:r>
      <w:r w:rsidRPr="00A050B6">
        <w:t xml:space="preserve"> </w:t>
      </w:r>
      <w:r w:rsidR="00117AFD">
        <w:t>W</w:t>
      </w:r>
      <w:r w:rsidRPr="00A050B6">
        <w:t xml:space="preserve">hen </w:t>
      </w:r>
      <w:r w:rsidR="00117AFD">
        <w:t>this format is not served,</w:t>
      </w:r>
      <w:r w:rsidR="00712EDB" w:rsidRPr="00A050B6">
        <w:t xml:space="preserve"> </w:t>
      </w:r>
      <w:r w:rsidR="000138B4" w:rsidRPr="00A050B6">
        <w:t xml:space="preserve">data </w:t>
      </w:r>
      <w:r w:rsidR="005A1B3A">
        <w:t xml:space="preserve">is </w:t>
      </w:r>
      <w:r w:rsidR="000138B4" w:rsidRPr="00A050B6">
        <w:t>delive</w:t>
      </w:r>
      <w:r w:rsidR="005A1B3A">
        <w:t xml:space="preserve">red in </w:t>
      </w:r>
      <w:r w:rsidR="00117AFD">
        <w:t xml:space="preserve">ASCII </w:t>
      </w:r>
      <w:r w:rsidRPr="00A050B6">
        <w:t>format.</w:t>
      </w:r>
      <w:r w:rsidR="000138B4" w:rsidRPr="00A050B6">
        <w:t xml:space="preserve"> </w:t>
      </w:r>
      <w:r w:rsidR="000138B4" w:rsidRPr="00A050B6">
        <w:rPr>
          <w:lang w:eastAsia="fi-FI"/>
        </w:rPr>
        <w:t>We have also enclosed raw measurement data</w:t>
      </w:r>
      <w:r w:rsidR="00117AFD">
        <w:rPr>
          <w:lang w:eastAsia="fi-FI"/>
        </w:rPr>
        <w:t xml:space="preserve"> to this </w:t>
      </w:r>
      <w:r w:rsidR="005A1B3A">
        <w:rPr>
          <w:lang w:eastAsia="fi-FI"/>
        </w:rPr>
        <w:t>work</w:t>
      </w:r>
      <w:r w:rsidR="000138B4" w:rsidRPr="00A050B6">
        <w:rPr>
          <w:lang w:eastAsia="fi-FI"/>
        </w:rPr>
        <w:t>.</w:t>
      </w:r>
      <w:r w:rsidR="00CA4837" w:rsidRPr="00A050B6">
        <w:rPr>
          <w:lang w:eastAsia="fi-FI"/>
        </w:rPr>
        <w:t xml:space="preserve"> The purpose</w:t>
      </w:r>
      <w:r w:rsidR="005A1B3A">
        <w:rPr>
          <w:lang w:eastAsia="fi-FI"/>
        </w:rPr>
        <w:t xml:space="preserve"> </w:t>
      </w:r>
      <w:r w:rsidR="00CA4837" w:rsidRPr="00A050B6">
        <w:rPr>
          <w:lang w:eastAsia="fi-FI"/>
        </w:rPr>
        <w:t xml:space="preserve">is to </w:t>
      </w:r>
      <w:r w:rsidR="000138B4" w:rsidRPr="00A050B6">
        <w:rPr>
          <w:lang w:eastAsia="fi-FI"/>
        </w:rPr>
        <w:t xml:space="preserve">leave </w:t>
      </w:r>
      <w:r w:rsidR="00CA4837" w:rsidRPr="00A050B6">
        <w:rPr>
          <w:lang w:eastAsia="fi-FI"/>
        </w:rPr>
        <w:t xml:space="preserve">raw data </w:t>
      </w:r>
      <w:r w:rsidR="000138B4" w:rsidRPr="00A050B6">
        <w:rPr>
          <w:lang w:eastAsia="fi-FI"/>
        </w:rPr>
        <w:t>in storage for potential future use.</w:t>
      </w:r>
    </w:p>
    <w:p w:rsidR="007D184B" w:rsidRPr="00A050B6" w:rsidRDefault="007D184B" w:rsidP="00A019E6">
      <w:pPr>
        <w:jc w:val="both"/>
      </w:pPr>
    </w:p>
    <w:p w:rsidR="00712EDB" w:rsidRPr="00A050B6" w:rsidRDefault="00117AFD" w:rsidP="00A019E6">
      <w:pPr>
        <w:jc w:val="both"/>
      </w:pPr>
      <w:r>
        <w:t>Presented p</w:t>
      </w:r>
      <w:r w:rsidR="00CA4837" w:rsidRPr="00A050B6">
        <w:t xml:space="preserve">rofile data </w:t>
      </w:r>
      <w:r w:rsidR="00D5276C" w:rsidRPr="00A050B6">
        <w:t>has</w:t>
      </w:r>
      <w:r w:rsidR="00A019E6" w:rsidRPr="00A050B6">
        <w:t xml:space="preserve"> been edited, to be precise, filtered and smoothed. Interpolations have been used to get evenly distributed data points and smoothing has been used to get noise out </w:t>
      </w:r>
      <w:r w:rsidR="00712EDB" w:rsidRPr="00A050B6">
        <w:t>of</w:t>
      </w:r>
      <w:r w:rsidR="00A019E6" w:rsidRPr="00A050B6">
        <w:t xml:space="preserve"> data. OAR-profiles have been centered, made symmetric using mean value of both profile sides and normalized using origin position. For more detailed information </w:t>
      </w:r>
      <w:r w:rsidR="005A1B3A">
        <w:t xml:space="preserve">please </w:t>
      </w:r>
      <w:r w:rsidR="00A019E6" w:rsidRPr="00A050B6">
        <w:t xml:space="preserve">see </w:t>
      </w:r>
      <w:r w:rsidR="00C17026" w:rsidRPr="00A050B6">
        <w:t>“</w:t>
      </w:r>
      <w:r w:rsidR="00712EDB" w:rsidRPr="00A050B6">
        <w:t>EDITLOKI*</w:t>
      </w:r>
      <w:r w:rsidR="00C17026" w:rsidRPr="00A050B6">
        <w:t>”</w:t>
      </w:r>
      <w:r w:rsidR="00712EDB" w:rsidRPr="00A050B6">
        <w:t xml:space="preserve"> </w:t>
      </w:r>
      <w:r>
        <w:t>–</w:t>
      </w:r>
      <w:r w:rsidR="00A019E6" w:rsidRPr="00A050B6">
        <w:t>do</w:t>
      </w:r>
      <w:r w:rsidR="00A019E6" w:rsidRPr="00A050B6">
        <w:t>c</w:t>
      </w:r>
      <w:r w:rsidR="00A019E6" w:rsidRPr="00A050B6">
        <w:t>ument</w:t>
      </w:r>
      <w:r>
        <w:t>s.</w:t>
      </w:r>
    </w:p>
    <w:p w:rsidR="00DF3570" w:rsidRPr="00A050B6" w:rsidRDefault="00DF3570" w:rsidP="00A019E6">
      <w:pPr>
        <w:jc w:val="both"/>
      </w:pPr>
    </w:p>
    <w:p w:rsidR="00D5276C" w:rsidRPr="00A050B6" w:rsidRDefault="00D5276C" w:rsidP="00A019E6">
      <w:pPr>
        <w:jc w:val="both"/>
      </w:pPr>
      <w:r w:rsidRPr="00A050B6">
        <w:t>Photon PDD</w:t>
      </w:r>
      <w:r w:rsidR="00117AFD">
        <w:t xml:space="preserve">s </w:t>
      </w:r>
      <w:r w:rsidRPr="00A050B6">
        <w:t>for field sizes: 3 x 3 cm</w:t>
      </w:r>
      <w:r w:rsidRPr="00A050B6">
        <w:rPr>
          <w:vertAlign w:val="superscript"/>
        </w:rPr>
        <w:t>2</w:t>
      </w:r>
      <w:r w:rsidRPr="00A050B6">
        <w:t>, 4 x 4 cm</w:t>
      </w:r>
      <w:r w:rsidRPr="00A050B6">
        <w:rPr>
          <w:vertAlign w:val="superscript"/>
        </w:rPr>
        <w:t>2</w:t>
      </w:r>
      <w:r w:rsidRPr="00A050B6">
        <w:t xml:space="preserve"> and 5 x 5 cm</w:t>
      </w:r>
      <w:r w:rsidRPr="00A050B6">
        <w:rPr>
          <w:vertAlign w:val="superscript"/>
        </w:rPr>
        <w:t>2</w:t>
      </w:r>
      <w:r w:rsidRPr="00A050B6">
        <w:t xml:space="preserve"> and CR</w:t>
      </w:r>
      <w:r w:rsidR="00117AFD">
        <w:t xml:space="preserve">s </w:t>
      </w:r>
      <w:r w:rsidRPr="00A050B6">
        <w:t>for field size 5 x 5 cm</w:t>
      </w:r>
      <w:r w:rsidRPr="00A050B6">
        <w:rPr>
          <w:vertAlign w:val="superscript"/>
        </w:rPr>
        <w:t>2</w:t>
      </w:r>
      <w:r w:rsidRPr="00A050B6">
        <w:t>, have been measured with diode detector. Output</w:t>
      </w:r>
      <w:r w:rsidR="00117AFD">
        <w:t xml:space="preserve"> </w:t>
      </w:r>
      <w:r w:rsidRPr="00A050B6">
        <w:t>factors for field</w:t>
      </w:r>
      <w:r w:rsidR="00117AFD">
        <w:t>s</w:t>
      </w:r>
      <w:r w:rsidRPr="00A050B6">
        <w:t xml:space="preserve">, where smaller </w:t>
      </w:r>
      <w:r w:rsidR="00117AFD">
        <w:t xml:space="preserve">field </w:t>
      </w:r>
      <w:r w:rsidRPr="00A050B6">
        <w:t>side is 3 cm or less</w:t>
      </w:r>
      <w:r w:rsidR="00117AFD">
        <w:t>,</w:t>
      </w:r>
      <w:r w:rsidRPr="00A050B6">
        <w:t xml:space="preserve"> are</w:t>
      </w:r>
      <w:r w:rsidR="00117AFD">
        <w:t xml:space="preserve"> also</w:t>
      </w:r>
      <w:r w:rsidRPr="00A050B6">
        <w:t xml:space="preserve"> measured with diode detector. All other</w:t>
      </w:r>
      <w:r w:rsidR="00CA4837" w:rsidRPr="00A050B6">
        <w:t xml:space="preserve"> photon</w:t>
      </w:r>
      <w:r w:rsidRPr="00A050B6">
        <w:t xml:space="preserve"> </w:t>
      </w:r>
      <w:r w:rsidR="00117AFD">
        <w:t xml:space="preserve">beam </w:t>
      </w:r>
      <w:r w:rsidRPr="00A050B6">
        <w:t xml:space="preserve">data is measured </w:t>
      </w:r>
      <w:r w:rsidR="00117AFD">
        <w:t xml:space="preserve">using </w:t>
      </w:r>
      <w:r w:rsidRPr="00A050B6">
        <w:t>ionization chamber.</w:t>
      </w:r>
      <w:r w:rsidR="00CA4837" w:rsidRPr="00A050B6">
        <w:t xml:space="preserve"> </w:t>
      </w:r>
      <w:r w:rsidR="00117AFD">
        <w:t>D</w:t>
      </w:r>
      <w:r w:rsidR="00CA4837" w:rsidRPr="00A050B6">
        <w:t>ata</w:t>
      </w:r>
      <w:r w:rsidR="00117AFD">
        <w:t xml:space="preserve"> of electron beams </w:t>
      </w:r>
      <w:r w:rsidR="00CA4837" w:rsidRPr="00A050B6">
        <w:t>is primary measured with ionization chamber. Diode results are collected to verify ion</w:t>
      </w:r>
      <w:r w:rsidR="00CA4837" w:rsidRPr="00A050B6">
        <w:t>i</w:t>
      </w:r>
      <w:r w:rsidR="00CA4837" w:rsidRPr="00A050B6">
        <w:t>zation chamber results.</w:t>
      </w:r>
    </w:p>
    <w:p w:rsidR="002F2B6D" w:rsidRPr="00A050B6" w:rsidRDefault="002F2B6D" w:rsidP="00A019E6">
      <w:pPr>
        <w:jc w:val="both"/>
      </w:pPr>
    </w:p>
    <w:p w:rsidR="002F2B6D" w:rsidRPr="00A050B6" w:rsidRDefault="002F2B6D" w:rsidP="00A019E6">
      <w:pPr>
        <w:jc w:val="both"/>
        <w:rPr>
          <w:b/>
          <w:sz w:val="22"/>
          <w:szCs w:val="22"/>
        </w:rPr>
      </w:pPr>
      <w:r w:rsidRPr="00A050B6">
        <w:rPr>
          <w:b/>
          <w:sz w:val="22"/>
          <w:szCs w:val="22"/>
        </w:rPr>
        <w:t>Uncertainties</w:t>
      </w:r>
    </w:p>
    <w:p w:rsidR="002F2B6D" w:rsidRPr="00A050B6" w:rsidRDefault="002F2B6D" w:rsidP="00A019E6">
      <w:pPr>
        <w:jc w:val="both"/>
      </w:pPr>
    </w:p>
    <w:p w:rsidR="00366B3E" w:rsidRPr="00A050B6" w:rsidRDefault="00C5172B" w:rsidP="002F2B6D">
      <w:pPr>
        <w:jc w:val="both"/>
      </w:pPr>
      <w:r w:rsidRPr="00A050B6">
        <w:t xml:space="preserve">In theory </w:t>
      </w:r>
      <w:r w:rsidR="00366B3E" w:rsidRPr="00A050B6">
        <w:t>to convert relative ionization to relative dose we have to correct</w:t>
      </w:r>
      <w:r w:rsidR="000138B4" w:rsidRPr="00A050B6">
        <w:t xml:space="preserve"> for</w:t>
      </w:r>
      <w:r w:rsidR="00366B3E" w:rsidRPr="00A050B6">
        <w:t xml:space="preserve"> </w:t>
      </w:r>
      <w:r w:rsidR="005A1B3A" w:rsidRPr="00A050B6">
        <w:t>dependencie</w:t>
      </w:r>
      <w:r w:rsidR="005A1B3A">
        <w:t>s on</w:t>
      </w:r>
      <w:r w:rsidR="005A1B3A" w:rsidRPr="00A050B6">
        <w:t xml:space="preserve"> </w:t>
      </w:r>
      <w:r w:rsidR="00DF3570" w:rsidRPr="00A050B6">
        <w:t>(i) ion-collection and (ii) radiation quali</w:t>
      </w:r>
      <w:r w:rsidR="00366B3E" w:rsidRPr="00A050B6">
        <w:t>ty</w:t>
      </w:r>
      <w:r w:rsidR="005A1B3A">
        <w:t xml:space="preserve"> as function of measurement location</w:t>
      </w:r>
      <w:r w:rsidR="00366B3E" w:rsidRPr="00A050B6">
        <w:t xml:space="preserve">. </w:t>
      </w:r>
      <w:r w:rsidR="00DF3570" w:rsidRPr="00A050B6">
        <w:t>In previous reports we have co</w:t>
      </w:r>
      <w:r w:rsidR="00DF3570" w:rsidRPr="00A050B6">
        <w:t>n</w:t>
      </w:r>
      <w:r w:rsidR="00DF3570" w:rsidRPr="00A050B6">
        <w:t xml:space="preserve">sidered </w:t>
      </w:r>
      <w:r w:rsidR="000138B4" w:rsidRPr="00A050B6">
        <w:t xml:space="preserve">these </w:t>
      </w:r>
      <w:r w:rsidR="0062245A">
        <w:t xml:space="preserve">correction and possible </w:t>
      </w:r>
      <w:r w:rsidR="00DF3570" w:rsidRPr="00A050B6">
        <w:t>uncertainties</w:t>
      </w:r>
      <w:r w:rsidR="0062245A">
        <w:t xml:space="preserve"> arising if these </w:t>
      </w:r>
      <w:r w:rsidR="005A1B3A">
        <w:t>corrections are bypassed</w:t>
      </w:r>
      <w:r w:rsidR="0062245A">
        <w:t xml:space="preserve">. </w:t>
      </w:r>
      <w:r w:rsidR="00366B3E" w:rsidRPr="00A050B6">
        <w:t>Referring to re</w:t>
      </w:r>
      <w:r w:rsidR="005A1B3A">
        <w:t>port</w:t>
      </w:r>
      <w:r w:rsidR="0062245A">
        <w:t xml:space="preserve"> </w:t>
      </w:r>
      <w:r w:rsidR="005A1B3A">
        <w:t>[A]</w:t>
      </w:r>
      <w:r w:rsidR="00366B3E" w:rsidRPr="00A050B6">
        <w:t xml:space="preserve"> we can give following </w:t>
      </w:r>
      <w:r w:rsidR="00D5276C" w:rsidRPr="00A050B6">
        <w:t>s</w:t>
      </w:r>
      <w:r w:rsidR="00366B3E" w:rsidRPr="00A050B6">
        <w:t>ummary</w:t>
      </w:r>
      <w:r w:rsidR="00D5276C" w:rsidRPr="00A050B6">
        <w:t xml:space="preserve">. </w:t>
      </w:r>
      <w:r w:rsidR="00366B3E" w:rsidRPr="00A050B6">
        <w:t xml:space="preserve">At broad beam </w:t>
      </w:r>
      <w:r w:rsidR="00C25E69">
        <w:t xml:space="preserve">measurement </w:t>
      </w:r>
      <w:r w:rsidR="00366B3E" w:rsidRPr="00A050B6">
        <w:t>uncertain</w:t>
      </w:r>
      <w:r w:rsidR="00C25E69">
        <w:t xml:space="preserve">ty arises from instability of accelerator and measurement devises and uncertainty of ion collection and beam quality. </w:t>
      </w:r>
      <w:r w:rsidR="00EC3258">
        <w:t xml:space="preserve">We estimate that </w:t>
      </w:r>
      <w:r w:rsidR="00247D64">
        <w:t xml:space="preserve">in this work </w:t>
      </w:r>
      <w:r w:rsidR="00EC3258">
        <w:t xml:space="preserve">combination of </w:t>
      </w:r>
      <w:r w:rsidR="00C25E69">
        <w:t xml:space="preserve">uncertainty </w:t>
      </w:r>
      <w:r w:rsidR="002F2B6D" w:rsidRPr="00A050B6">
        <w:t xml:space="preserve">is </w:t>
      </w:r>
      <w:r w:rsidR="00EC3258">
        <w:rPr>
          <w:rFonts w:cs="Arial"/>
        </w:rPr>
        <w:t>≤</w:t>
      </w:r>
      <w:r w:rsidR="002F2B6D" w:rsidRPr="00A050B6">
        <w:t xml:space="preserve"> 0.5 % </w:t>
      </w:r>
      <w:r w:rsidR="00EC3258">
        <w:t>(1</w:t>
      </w:r>
      <w:r w:rsidR="00EC3258">
        <w:rPr>
          <w:rFonts w:cs="Arial"/>
        </w:rPr>
        <w:t>σ</w:t>
      </w:r>
      <w:r w:rsidR="00EC3258">
        <w:t xml:space="preserve">) </w:t>
      </w:r>
      <w:r w:rsidR="002F2B6D" w:rsidRPr="00A050B6">
        <w:t xml:space="preserve">for all </w:t>
      </w:r>
      <w:r w:rsidR="00C25E69">
        <w:t xml:space="preserve">studied </w:t>
      </w:r>
      <w:r w:rsidR="002F2B6D" w:rsidRPr="00A050B6">
        <w:t>ph</w:t>
      </w:r>
      <w:r w:rsidR="002F2B6D" w:rsidRPr="00A050B6">
        <w:t>o</w:t>
      </w:r>
      <w:r w:rsidR="002F2B6D" w:rsidRPr="00A050B6">
        <w:t>ton beams</w:t>
      </w:r>
      <w:r w:rsidR="00C25E69">
        <w:t xml:space="preserve">. </w:t>
      </w:r>
      <w:r w:rsidR="000138B4" w:rsidRPr="00A050B6">
        <w:t xml:space="preserve">If this uncertainty level is </w:t>
      </w:r>
      <w:r w:rsidR="00C25E69">
        <w:t xml:space="preserve">see </w:t>
      </w:r>
      <w:r w:rsidR="000138B4" w:rsidRPr="00A050B6">
        <w:t>acceptable</w:t>
      </w:r>
      <w:r w:rsidR="00C25E69">
        <w:t>,</w:t>
      </w:r>
      <w:r w:rsidR="000138B4" w:rsidRPr="00A050B6">
        <w:t xml:space="preserve"> delivered</w:t>
      </w:r>
      <w:r w:rsidR="00CA4837" w:rsidRPr="00A050B6">
        <w:t xml:space="preserve"> ionization data can be used in the raw </w:t>
      </w:r>
      <w:r w:rsidR="00C25E69">
        <w:t xml:space="preserve">format </w:t>
      </w:r>
      <w:r w:rsidR="0062245A">
        <w:t>as rel</w:t>
      </w:r>
      <w:r w:rsidR="0062245A">
        <w:t>a</w:t>
      </w:r>
      <w:r w:rsidR="0062245A">
        <w:t xml:space="preserve">tive </w:t>
      </w:r>
      <w:r w:rsidR="000138B4" w:rsidRPr="00A050B6">
        <w:t>dose data.</w:t>
      </w:r>
    </w:p>
    <w:p w:rsidR="00366B3E" w:rsidRPr="00A050B6" w:rsidRDefault="00366B3E" w:rsidP="00366B3E">
      <w:pPr>
        <w:jc w:val="both"/>
        <w:rPr>
          <w:sz w:val="24"/>
          <w:szCs w:val="24"/>
        </w:rPr>
      </w:pPr>
    </w:p>
    <w:p w:rsidR="00366B3E" w:rsidRPr="00A050B6" w:rsidRDefault="00366B3E" w:rsidP="00A019E6">
      <w:pPr>
        <w:jc w:val="both"/>
      </w:pPr>
      <w:r w:rsidRPr="00A050B6">
        <w:t xml:space="preserve">Uncertainties in radiation measurement conducted with diode arise </w:t>
      </w:r>
      <w:r w:rsidR="000138B4" w:rsidRPr="00A050B6">
        <w:t xml:space="preserve">also </w:t>
      </w:r>
      <w:r w:rsidRPr="00A050B6">
        <w:t xml:space="preserve">from (i) dose rate and (ii) beam quality –dependencies. These dependencies are known from literature. We haven’t made quantitative analysis of them for this study or for used diode. </w:t>
      </w:r>
      <w:r w:rsidR="000138B4" w:rsidRPr="00A050B6">
        <w:t>We can note that the used instrument has been benc</w:t>
      </w:r>
      <w:r w:rsidR="000138B4" w:rsidRPr="00A050B6">
        <w:t>h</w:t>
      </w:r>
      <w:r w:rsidR="000138B4" w:rsidRPr="00A050B6">
        <w:t>marked against ionization chamber in field size range used in this study. Our findings</w:t>
      </w:r>
      <w:r w:rsidR="0062245A">
        <w:t xml:space="preserve"> are positive, and the detector </w:t>
      </w:r>
      <w:r w:rsidR="000138B4" w:rsidRPr="00A050B6">
        <w:t xml:space="preserve">has worked foreseeable. </w:t>
      </w:r>
      <w:r w:rsidR="0062245A">
        <w:t xml:space="preserve">We want to give </w:t>
      </w:r>
      <w:r w:rsidR="000138B4" w:rsidRPr="00A050B6">
        <w:t>qualitative</w:t>
      </w:r>
      <w:r w:rsidR="0062245A">
        <w:t xml:space="preserve"> comment, that</w:t>
      </w:r>
      <w:r w:rsidR="000138B4" w:rsidRPr="00A050B6">
        <w:t xml:space="preserve"> </w:t>
      </w:r>
      <w:r w:rsidR="0062245A">
        <w:t xml:space="preserve">used diode detector </w:t>
      </w:r>
      <w:r w:rsidR="000138B4" w:rsidRPr="00A050B6">
        <w:t xml:space="preserve">might see penumbras too steep. </w:t>
      </w:r>
      <w:r w:rsidRPr="00A050B6">
        <w:t>Data users are advised to find quantitative uncertainty analysis for diode dosi</w:t>
      </w:r>
      <w:r w:rsidRPr="00A050B6">
        <w:t>m</w:t>
      </w:r>
      <w:r w:rsidRPr="00A050B6">
        <w:t xml:space="preserve">etry before accepting measured profiles. </w:t>
      </w:r>
    </w:p>
    <w:p w:rsidR="00CA4837" w:rsidRPr="00A050B6" w:rsidRDefault="00CA4837" w:rsidP="00D5276C">
      <w:pPr>
        <w:jc w:val="both"/>
      </w:pPr>
    </w:p>
    <w:p w:rsidR="00D5276C" w:rsidRPr="00A050B6" w:rsidRDefault="00582463" w:rsidP="00D5276C">
      <w:pPr>
        <w:jc w:val="both"/>
      </w:pPr>
      <w:r>
        <w:t xml:space="preserve">Additionally </w:t>
      </w:r>
      <w:r w:rsidR="00480357">
        <w:t xml:space="preserve">we want to note that </w:t>
      </w:r>
      <w:r>
        <w:t>d</w:t>
      </w:r>
      <w:r w:rsidR="0062245A">
        <w:t>etectors macroscopic size (alias v</w:t>
      </w:r>
      <w:r w:rsidR="009239BA" w:rsidRPr="00A050B6">
        <w:t xml:space="preserve">olume </w:t>
      </w:r>
      <w:r w:rsidR="0062245A" w:rsidRPr="00A050B6">
        <w:t>averagi</w:t>
      </w:r>
      <w:r w:rsidR="0062245A">
        <w:t>ng effect) softens grad</w:t>
      </w:r>
      <w:r w:rsidR="0062245A">
        <w:t>i</w:t>
      </w:r>
      <w:r w:rsidR="0062245A">
        <w:t xml:space="preserve">ents like </w:t>
      </w:r>
      <w:r w:rsidR="009239BA" w:rsidRPr="00A050B6">
        <w:t xml:space="preserve">field penumbra </w:t>
      </w:r>
      <w:r w:rsidR="0062245A">
        <w:t xml:space="preserve">or </w:t>
      </w:r>
      <w:r w:rsidR="009239BA" w:rsidRPr="00A050B6">
        <w:t>depth dose maximum.</w:t>
      </w:r>
      <w:r w:rsidR="002F2B6D" w:rsidRPr="00A050B6">
        <w:t xml:space="preserve"> See table 2b to est</w:t>
      </w:r>
      <w:r w:rsidR="002F2B6D" w:rsidRPr="00A050B6">
        <w:t>i</w:t>
      </w:r>
      <w:r w:rsidR="002F2B6D" w:rsidRPr="00A050B6">
        <w:t>mate averaging volumes.</w:t>
      </w:r>
      <w:r w:rsidR="00D5276C" w:rsidRPr="00A050B6">
        <w:t xml:space="preserve"> </w:t>
      </w:r>
    </w:p>
    <w:p w:rsidR="00D5276C" w:rsidRPr="00A050B6" w:rsidRDefault="00D5276C" w:rsidP="00D5276C">
      <w:pPr>
        <w:jc w:val="both"/>
      </w:pPr>
    </w:p>
    <w:p w:rsidR="00D5276C" w:rsidRDefault="00582463" w:rsidP="00D5276C">
      <w:pPr>
        <w:jc w:val="both"/>
        <w:rPr>
          <w:szCs w:val="22"/>
        </w:rPr>
      </w:pPr>
      <w:r>
        <w:t>S</w:t>
      </w:r>
      <w:r w:rsidR="00D5276C" w:rsidRPr="00A050B6">
        <w:t>etup uncertainty</w:t>
      </w:r>
      <w:r w:rsidR="00D5276C" w:rsidRPr="00A050B6">
        <w:rPr>
          <w:szCs w:val="22"/>
        </w:rPr>
        <w:t xml:space="preserve"> is </w:t>
      </w:r>
      <w:r>
        <w:rPr>
          <w:szCs w:val="22"/>
        </w:rPr>
        <w:t xml:space="preserve">estimated to be </w:t>
      </w:r>
      <w:r w:rsidR="00D5276C" w:rsidRPr="00A050B6">
        <w:rPr>
          <w:rFonts w:cs="Arial"/>
          <w:szCs w:val="22"/>
        </w:rPr>
        <w:t>±</w:t>
      </w:r>
      <w:r w:rsidR="00D5276C" w:rsidRPr="00A050B6">
        <w:rPr>
          <w:szCs w:val="22"/>
        </w:rPr>
        <w:t xml:space="preserve"> 0.5 mm (for water phantom and detector sep</w:t>
      </w:r>
      <w:r w:rsidR="00D5276C" w:rsidRPr="00A050B6">
        <w:rPr>
          <w:szCs w:val="22"/>
        </w:rPr>
        <w:t>a</w:t>
      </w:r>
      <w:r w:rsidR="00D5276C" w:rsidRPr="00A050B6">
        <w:rPr>
          <w:szCs w:val="22"/>
        </w:rPr>
        <w:t>rately).</w:t>
      </w:r>
    </w:p>
    <w:p w:rsidR="004722A7" w:rsidRPr="00A050B6" w:rsidRDefault="004722A7" w:rsidP="00D5276C">
      <w:pPr>
        <w:jc w:val="both"/>
        <w:rPr>
          <w:szCs w:val="22"/>
        </w:rPr>
      </w:pPr>
    </w:p>
    <w:p w:rsidR="00A019E6" w:rsidRPr="00A050B6" w:rsidRDefault="00A019E6" w:rsidP="00A019E6">
      <w:pPr>
        <w:jc w:val="both"/>
      </w:pPr>
    </w:p>
    <w:p w:rsidR="00A019E6" w:rsidRPr="00A050B6" w:rsidRDefault="00A019E6" w:rsidP="00A019E6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t>Previous Reports</w:t>
      </w:r>
    </w:p>
    <w:p w:rsidR="00DF3570" w:rsidRDefault="00DF3570" w:rsidP="00DF3570">
      <w:pPr>
        <w:jc w:val="both"/>
      </w:pPr>
    </w:p>
    <w:p w:rsidR="004722A7" w:rsidRPr="00A050B6" w:rsidRDefault="004722A7" w:rsidP="00DF3570">
      <w:pPr>
        <w:jc w:val="both"/>
      </w:pPr>
    </w:p>
    <w:p w:rsidR="00CA4837" w:rsidRPr="00A050B6" w:rsidRDefault="00DF3570" w:rsidP="00DF3570">
      <w:pPr>
        <w:jc w:val="both"/>
      </w:pPr>
      <w:r w:rsidRPr="00A050B6">
        <w:t xml:space="preserve">For more information please review following reports. </w:t>
      </w:r>
      <w:r w:rsidR="00CA4837" w:rsidRPr="00A050B6">
        <w:t xml:space="preserve">Measurement details of this study correspond to </w:t>
      </w:r>
      <w:r w:rsidR="004722A7">
        <w:t xml:space="preserve">work </w:t>
      </w:r>
      <w:r w:rsidR="00CA4837" w:rsidRPr="00A050B6">
        <w:t>presented in</w:t>
      </w:r>
      <w:r w:rsidR="004722A7">
        <w:t xml:space="preserve"> document</w:t>
      </w:r>
      <w:r w:rsidR="00CA4837" w:rsidRPr="00A050B6">
        <w:t>:</w:t>
      </w:r>
    </w:p>
    <w:p w:rsidR="00CA4837" w:rsidRPr="00A050B6" w:rsidRDefault="00CA4837" w:rsidP="00DF3570">
      <w:pPr>
        <w:jc w:val="both"/>
      </w:pPr>
    </w:p>
    <w:p w:rsidR="00CA4837" w:rsidRPr="00A050B6" w:rsidRDefault="00CA4837" w:rsidP="00A050B6">
      <w:pPr>
        <w:ind w:firstLine="1134"/>
        <w:jc w:val="both"/>
      </w:pPr>
      <w:proofErr w:type="gramStart"/>
      <w:r w:rsidRPr="00A050B6">
        <w:t xml:space="preserve">(A) </w:t>
      </w:r>
      <w:r w:rsidRPr="00A050B6">
        <w:tab/>
      </w:r>
      <w:r w:rsidR="00DF3570" w:rsidRPr="00A050B6">
        <w:t>Elekta A</w:t>
      </w:r>
      <w:r w:rsidR="004722A7">
        <w:t>XESS (Beam Modulator) Beam Data</w:t>
      </w:r>
      <w:r w:rsidR="00DF3570" w:rsidRPr="00A050B6">
        <w:t>.</w:t>
      </w:r>
      <w:proofErr w:type="gramEnd"/>
      <w:r w:rsidR="00DF3570" w:rsidRPr="00A050B6">
        <w:t xml:space="preserve"> </w:t>
      </w:r>
    </w:p>
    <w:p w:rsidR="00CA4837" w:rsidRPr="00A050B6" w:rsidRDefault="00CA4837" w:rsidP="00DF3570">
      <w:pPr>
        <w:jc w:val="both"/>
      </w:pPr>
    </w:p>
    <w:p w:rsidR="00CA4837" w:rsidRPr="00A050B6" w:rsidRDefault="004722A7" w:rsidP="00DF3570">
      <w:pPr>
        <w:jc w:val="both"/>
      </w:pPr>
      <w:r>
        <w:t>For r</w:t>
      </w:r>
      <w:r w:rsidR="00DF3570" w:rsidRPr="00A050B6">
        <w:t>eaders how understand finish</w:t>
      </w:r>
      <w:r>
        <w:t>, we present</w:t>
      </w:r>
      <w:r w:rsidR="00DF3570" w:rsidRPr="00A050B6">
        <w:t xml:space="preserve"> clinical summary</w:t>
      </w:r>
      <w:r>
        <w:t xml:space="preserve"> document</w:t>
      </w:r>
      <w:r w:rsidR="00DF3570" w:rsidRPr="00A050B6">
        <w:t xml:space="preserve">: </w:t>
      </w:r>
    </w:p>
    <w:p w:rsidR="00CA4837" w:rsidRPr="00A050B6" w:rsidRDefault="00CA4837" w:rsidP="00DF3570">
      <w:pPr>
        <w:jc w:val="both"/>
      </w:pPr>
    </w:p>
    <w:p w:rsidR="00DF3570" w:rsidRDefault="00CA4837" w:rsidP="00A050B6">
      <w:pPr>
        <w:ind w:firstLine="1134"/>
        <w:jc w:val="both"/>
      </w:pPr>
      <w:r w:rsidRPr="00A050B6">
        <w:t>(B)</w:t>
      </w:r>
      <w:r w:rsidRPr="00A050B6">
        <w:tab/>
      </w:r>
      <w:r w:rsidR="00DF3570" w:rsidRPr="00A050B6">
        <w:t>VarianTru</w:t>
      </w:r>
      <w:r w:rsidR="00DF3570" w:rsidRPr="00A050B6">
        <w:t>e</w:t>
      </w:r>
      <w:r w:rsidR="00DF3570" w:rsidRPr="00A050B6">
        <w:t>Beam_Kotka2012.</w:t>
      </w:r>
    </w:p>
    <w:p w:rsidR="004722A7" w:rsidRDefault="004722A7" w:rsidP="00A050B6">
      <w:pPr>
        <w:ind w:firstLine="1134"/>
        <w:jc w:val="both"/>
      </w:pPr>
    </w:p>
    <w:p w:rsidR="004722A7" w:rsidRDefault="004722A7" w:rsidP="00A050B6">
      <w:pPr>
        <w:ind w:firstLine="1134"/>
        <w:jc w:val="both"/>
      </w:pPr>
    </w:p>
    <w:p w:rsidR="004722A7" w:rsidRPr="00A050B6" w:rsidRDefault="004722A7" w:rsidP="004722A7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t>Comments</w:t>
      </w:r>
    </w:p>
    <w:p w:rsidR="004722A7" w:rsidRDefault="004722A7" w:rsidP="004722A7">
      <w:pPr>
        <w:jc w:val="both"/>
        <w:rPr>
          <w:b/>
        </w:rPr>
      </w:pPr>
    </w:p>
    <w:p w:rsidR="004722A7" w:rsidRDefault="004722A7" w:rsidP="004722A7">
      <w:pPr>
        <w:jc w:val="both"/>
        <w:rPr>
          <w:b/>
        </w:rPr>
      </w:pPr>
    </w:p>
    <w:p w:rsidR="004722A7" w:rsidRPr="00A050B6" w:rsidRDefault="004722A7" w:rsidP="004722A7">
      <w:pPr>
        <w:jc w:val="both"/>
      </w:pPr>
      <w:r w:rsidRPr="00A050B6">
        <w:t xml:space="preserve">(1) </w:t>
      </w:r>
      <w:r>
        <w:t>F</w:t>
      </w:r>
      <w:r w:rsidRPr="00A050B6">
        <w:t xml:space="preserve">or this study we have </w:t>
      </w:r>
      <w:r>
        <w:t xml:space="preserve">used </w:t>
      </w:r>
      <w:r w:rsidR="00284B65">
        <w:t xml:space="preserve">approx. </w:t>
      </w:r>
      <w:r w:rsidRPr="00A050B6">
        <w:t xml:space="preserve">120 </w:t>
      </w:r>
      <w:r w:rsidR="00284B65">
        <w:t xml:space="preserve">work </w:t>
      </w:r>
      <w:r w:rsidRPr="00A050B6">
        <w:t xml:space="preserve">hours and 30 – 40 hours beam on time. </w:t>
      </w:r>
    </w:p>
    <w:p w:rsidR="004722A7" w:rsidRPr="00A050B6" w:rsidRDefault="004722A7" w:rsidP="004722A7">
      <w:pPr>
        <w:jc w:val="both"/>
        <w:rPr>
          <w:lang w:eastAsia="fi-FI"/>
        </w:rPr>
      </w:pPr>
      <w:r w:rsidRPr="00A050B6">
        <w:rPr>
          <w:lang w:eastAsia="fi-FI"/>
        </w:rPr>
        <w:t xml:space="preserve"> </w:t>
      </w:r>
    </w:p>
    <w:p w:rsidR="004722A7" w:rsidRPr="00A050B6" w:rsidRDefault="004722A7" w:rsidP="00A050B6">
      <w:pPr>
        <w:ind w:firstLine="1134"/>
        <w:jc w:val="both"/>
      </w:pPr>
    </w:p>
    <w:p w:rsidR="004722A7" w:rsidRDefault="004722A7" w:rsidP="00A019E6">
      <w:pPr>
        <w:pStyle w:val="Otsikko1"/>
        <w:jc w:val="center"/>
        <w:rPr>
          <w:sz w:val="36"/>
          <w:szCs w:val="36"/>
        </w:rPr>
      </w:pPr>
    </w:p>
    <w:p w:rsidR="00A019E6" w:rsidRDefault="00A019E6" w:rsidP="00A019E6">
      <w:pPr>
        <w:pStyle w:val="Otsikko1"/>
        <w:jc w:val="center"/>
        <w:rPr>
          <w:sz w:val="36"/>
          <w:szCs w:val="36"/>
        </w:rPr>
      </w:pPr>
      <w:r w:rsidRPr="00A050B6">
        <w:rPr>
          <w:sz w:val="36"/>
          <w:szCs w:val="36"/>
        </w:rPr>
        <w:t>Figures</w:t>
      </w:r>
    </w:p>
    <w:p w:rsidR="004722A7" w:rsidRDefault="004722A7" w:rsidP="004722A7">
      <w:pPr>
        <w:rPr>
          <w:lang w:eastAsia="fi-FI"/>
        </w:rPr>
      </w:pPr>
    </w:p>
    <w:p w:rsidR="004722A7" w:rsidRDefault="004722A7" w:rsidP="004722A7">
      <w:pPr>
        <w:rPr>
          <w:lang w:eastAsia="fi-FI"/>
        </w:rPr>
      </w:pPr>
    </w:p>
    <w:p w:rsidR="004722A7" w:rsidRDefault="004722A7" w:rsidP="004722A7">
      <w:pPr>
        <w:rPr>
          <w:lang w:eastAsia="fi-FI"/>
        </w:rPr>
      </w:pPr>
    </w:p>
    <w:p w:rsidR="004722A7" w:rsidRDefault="004722A7" w:rsidP="004722A7">
      <w:pPr>
        <w:rPr>
          <w:lang w:eastAsia="fi-FI"/>
        </w:rPr>
      </w:pPr>
    </w:p>
    <w:p w:rsidR="004722A7" w:rsidRDefault="004722A7" w:rsidP="004722A7">
      <w:pPr>
        <w:rPr>
          <w:lang w:eastAsia="fi-FI"/>
        </w:rPr>
      </w:pPr>
    </w:p>
    <w:p w:rsidR="004722A7" w:rsidRPr="004722A7" w:rsidRDefault="004722A7" w:rsidP="004722A7">
      <w:pPr>
        <w:rPr>
          <w:lang w:eastAsia="fi-FI"/>
        </w:rPr>
      </w:pPr>
    </w:p>
    <w:p w:rsidR="00A019E6" w:rsidRPr="00A050B6" w:rsidRDefault="00A019E6" w:rsidP="00A019E6">
      <w:pPr>
        <w:rPr>
          <w:lang w:eastAsia="fi-FI"/>
        </w:rPr>
      </w:pPr>
    </w:p>
    <w:p w:rsidR="00A019E6" w:rsidRPr="00A050B6" w:rsidRDefault="00A019E6" w:rsidP="00A019E6">
      <w:pPr>
        <w:rPr>
          <w:lang w:eastAsia="fi-FI"/>
        </w:rPr>
      </w:pPr>
    </w:p>
    <w:p w:rsidR="00A019E6" w:rsidRPr="00A050B6" w:rsidRDefault="00A019E6" w:rsidP="00A019E6">
      <w:pPr>
        <w:jc w:val="both"/>
      </w:pPr>
    </w:p>
    <w:p w:rsidR="00A019E6" w:rsidRPr="00A050B6" w:rsidRDefault="00BA4B87" w:rsidP="00A019E6">
      <w:pPr>
        <w:jc w:val="center"/>
      </w:pPr>
      <w:r>
        <w:rPr>
          <w:noProof/>
          <w:lang w:val="fi-FI" w:eastAsia="fi-FI"/>
        </w:rPr>
        <w:drawing>
          <wp:inline distT="0" distB="0" distL="0" distR="0">
            <wp:extent cx="4177030" cy="6664325"/>
            <wp:effectExtent l="0" t="0" r="0" b="3175"/>
            <wp:docPr id="2" name="Kuva 2" descr="Koordinaatisto_EDI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oordinaatisto_EDIT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666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03" w:rsidRPr="00A050B6" w:rsidRDefault="00A019E6" w:rsidP="009239BA">
      <w:pPr>
        <w:pStyle w:val="Kuvanotsikko"/>
        <w:jc w:val="both"/>
        <w:outlineLvl w:val="0"/>
        <w:rPr>
          <w:b w:val="0"/>
        </w:rPr>
      </w:pPr>
      <w:proofErr w:type="gramStart"/>
      <w:r w:rsidRPr="00A050B6">
        <w:t>Figure 1.</w:t>
      </w:r>
      <w:proofErr w:type="gramEnd"/>
      <w:r w:rsidRPr="00A050B6">
        <w:t xml:space="preserve"> </w:t>
      </w:r>
      <w:r w:rsidRPr="00A050B6">
        <w:rPr>
          <w:b w:val="0"/>
        </w:rPr>
        <w:t>Measurement coordinates (IN, CR, DPTH [IEC61217]) as used in this study. For all mea</w:t>
      </w:r>
      <w:r w:rsidRPr="00A050B6">
        <w:rPr>
          <w:b w:val="0"/>
        </w:rPr>
        <w:t>s</w:t>
      </w:r>
      <w:r w:rsidRPr="00A050B6">
        <w:rPr>
          <w:b w:val="0"/>
        </w:rPr>
        <w:t>urement situation gantry and collimator angle has been set to 0 degree. [Screen Print: O</w:t>
      </w:r>
      <w:r w:rsidRPr="00A050B6">
        <w:rPr>
          <w:b w:val="0"/>
        </w:rPr>
        <w:t>m</w:t>
      </w:r>
      <w:r w:rsidRPr="00A050B6">
        <w:rPr>
          <w:b w:val="0"/>
        </w:rPr>
        <w:t xml:space="preserve">niPro Accept 7.1a]  </w:t>
      </w:r>
    </w:p>
    <w:p w:rsidR="00A67C72" w:rsidRPr="00A050B6" w:rsidRDefault="00A67C72" w:rsidP="0085301A">
      <w:pPr>
        <w:pStyle w:val="normalBodytext"/>
        <w:jc w:val="both"/>
      </w:pPr>
      <w:r w:rsidRPr="00A050B6">
        <w:tab/>
      </w:r>
      <w:r w:rsidRPr="00A050B6">
        <w:tab/>
      </w:r>
      <w:r w:rsidRPr="00A050B6">
        <w:tab/>
      </w:r>
      <w:r w:rsidRPr="00A050B6">
        <w:tab/>
      </w:r>
      <w:r w:rsidRPr="00A050B6">
        <w:tab/>
      </w:r>
    </w:p>
    <w:sectPr w:rsidR="00A67C72" w:rsidRPr="00A050B6" w:rsidSect="008A4097">
      <w:headerReference w:type="default" r:id="rId11"/>
      <w:type w:val="continuous"/>
      <w:pgSz w:w="11907" w:h="16840" w:code="47"/>
      <w:pgMar w:top="737" w:right="1134" w:bottom="567" w:left="1304" w:header="737" w:footer="66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06B" w:rsidRDefault="0041106B">
      <w:r>
        <w:separator/>
      </w:r>
    </w:p>
  </w:endnote>
  <w:endnote w:type="continuationSeparator" w:id="0">
    <w:p w:rsidR="0041106B" w:rsidRDefault="0041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06B" w:rsidRDefault="0041106B">
      <w:r>
        <w:separator/>
      </w:r>
    </w:p>
  </w:footnote>
  <w:footnote w:type="continuationSeparator" w:id="0">
    <w:p w:rsidR="0041106B" w:rsidRDefault="004110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CF7" w:rsidRDefault="00CC3CF7">
    <w:pPr>
      <w:pStyle w:val="Yltunniste"/>
      <w:rPr>
        <w:rStyle w:val="Sivunumero"/>
      </w:rPr>
    </w:pPr>
    <w:r>
      <w:rPr>
        <w:sz w:val="16"/>
      </w:rPr>
      <w:fldChar w:fldCharType="begin"/>
    </w:r>
    <w:r>
      <w:rPr>
        <w:sz w:val="16"/>
      </w:rPr>
      <w:instrText xml:space="preserve"> FILENAME </w:instrText>
    </w:r>
    <w:r>
      <w:rPr>
        <w:sz w:val="16"/>
      </w:rPr>
      <w:fldChar w:fldCharType="separate"/>
    </w:r>
    <w:r w:rsidR="00181E99">
      <w:rPr>
        <w:noProof/>
        <w:sz w:val="16"/>
      </w:rPr>
      <w:t>TrueBeam Reference Beam Data [HUCH, 2016]</w:t>
    </w:r>
    <w:r>
      <w:rPr>
        <w:sz w:val="16"/>
      </w:rPr>
      <w:fldChar w:fldCharType="end"/>
    </w:r>
    <w:r>
      <w:tab/>
    </w:r>
    <w:r w:rsidR="002B513D"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181E99">
      <w:rPr>
        <w:rStyle w:val="Sivunumero"/>
      </w:rPr>
      <w:t>4</w:t>
    </w:r>
    <w:r>
      <w:rPr>
        <w:rStyle w:val="Sivunumero"/>
      </w:rPr>
      <w:fldChar w:fldCharType="end"/>
    </w:r>
    <w:r>
      <w:rPr>
        <w:rStyle w:val="Sivunumero"/>
      </w:rPr>
      <w:t xml:space="preserve"> (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181E99">
      <w:rPr>
        <w:rStyle w:val="Sivunumero"/>
        <w:noProof/>
      </w:rPr>
      <w:t>5</w:t>
    </w:r>
    <w:r>
      <w:rPr>
        <w:rStyle w:val="Sivunumero"/>
      </w:rPr>
      <w:fldChar w:fldCharType="end"/>
    </w:r>
    <w:r>
      <w:rPr>
        <w:rStyle w:val="Sivunumero"/>
      </w:rPr>
      <w:t>)</w:t>
    </w:r>
  </w:p>
  <w:p w:rsidR="00CC3CF7" w:rsidRDefault="00CC3CF7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31C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D077DC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725C11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B95FE0"/>
    <w:multiLevelType w:val="hybridMultilevel"/>
    <w:tmpl w:val="A70E40E8"/>
    <w:lvl w:ilvl="0" w:tplc="DF2E80A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9"/>
        </w:tabs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9"/>
        </w:tabs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9"/>
        </w:tabs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9"/>
        </w:tabs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9"/>
        </w:tabs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9"/>
        </w:tabs>
        <w:ind w:left="6479" w:hanging="180"/>
      </w:pPr>
    </w:lvl>
  </w:abstractNum>
  <w:abstractNum w:abstractNumId="4">
    <w:nsid w:val="205A59C4"/>
    <w:multiLevelType w:val="hybridMultilevel"/>
    <w:tmpl w:val="E954E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735567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2F519E9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3A9B02D3"/>
    <w:multiLevelType w:val="hybridMultilevel"/>
    <w:tmpl w:val="11368A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D91C0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450C20BF"/>
    <w:multiLevelType w:val="hybridMultilevel"/>
    <w:tmpl w:val="F90E2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162534"/>
    <w:multiLevelType w:val="hybridMultilevel"/>
    <w:tmpl w:val="08A06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0679A4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B0012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50CC5C50"/>
    <w:multiLevelType w:val="hybridMultilevel"/>
    <w:tmpl w:val="5B7C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31749C"/>
    <w:multiLevelType w:val="multilevel"/>
    <w:tmpl w:val="9DE83F0E"/>
    <w:lvl w:ilvl="0">
      <w:start w:val="10"/>
      <w:numFmt w:val="decimal"/>
      <w:lvlText w:val="(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2265"/>
        </w:tabs>
        <w:ind w:left="2265" w:hanging="1125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3405"/>
        </w:tabs>
        <w:ind w:left="3405" w:hanging="1125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4545"/>
        </w:tabs>
        <w:ind w:left="4545" w:hanging="1125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5685"/>
        </w:tabs>
        <w:ind w:left="5685" w:hanging="1125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6825"/>
        </w:tabs>
        <w:ind w:left="6825" w:hanging="1125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15">
    <w:nsid w:val="58BB37A6"/>
    <w:multiLevelType w:val="multilevel"/>
    <w:tmpl w:val="9DE83F0E"/>
    <w:lvl w:ilvl="0">
      <w:start w:val="10"/>
      <w:numFmt w:val="decimal"/>
      <w:lvlText w:val="(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2265"/>
        </w:tabs>
        <w:ind w:left="2265" w:hanging="1125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3405"/>
        </w:tabs>
        <w:ind w:left="3405" w:hanging="1125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4545"/>
        </w:tabs>
        <w:ind w:left="4545" w:hanging="1125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5685"/>
        </w:tabs>
        <w:ind w:left="5685" w:hanging="1125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6825"/>
        </w:tabs>
        <w:ind w:left="6825" w:hanging="1125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16">
    <w:nsid w:val="602405BA"/>
    <w:multiLevelType w:val="singleLevel"/>
    <w:tmpl w:val="040B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7BE3185"/>
    <w:multiLevelType w:val="multilevel"/>
    <w:tmpl w:val="D1AE9128"/>
    <w:lvl w:ilvl="0">
      <w:start w:val="2"/>
      <w:numFmt w:val="decimal"/>
      <w:lvlText w:val="(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1"/>
      <w:numFmt w:val="decimal"/>
      <w:lvlText w:val="(2.%2)"/>
      <w:lvlJc w:val="left"/>
      <w:pPr>
        <w:tabs>
          <w:tab w:val="num" w:pos="2265"/>
        </w:tabs>
        <w:ind w:left="2265" w:hanging="1125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3405"/>
        </w:tabs>
        <w:ind w:left="3405" w:hanging="1125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4545"/>
        </w:tabs>
        <w:ind w:left="4545" w:hanging="1125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5685"/>
        </w:tabs>
        <w:ind w:left="5685" w:hanging="1125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6825"/>
        </w:tabs>
        <w:ind w:left="6825" w:hanging="1125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18">
    <w:nsid w:val="6B6A1FFF"/>
    <w:multiLevelType w:val="hybridMultilevel"/>
    <w:tmpl w:val="49A6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D6A5A2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D09281F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8"/>
  </w:num>
  <w:num w:numId="5">
    <w:abstractNumId w:val="11"/>
  </w:num>
  <w:num w:numId="6">
    <w:abstractNumId w:val="16"/>
  </w:num>
  <w:num w:numId="7">
    <w:abstractNumId w:val="18"/>
  </w:num>
  <w:num w:numId="8">
    <w:abstractNumId w:val="13"/>
  </w:num>
  <w:num w:numId="9">
    <w:abstractNumId w:val="20"/>
  </w:num>
  <w:num w:numId="10">
    <w:abstractNumId w:val="1"/>
  </w:num>
  <w:num w:numId="11">
    <w:abstractNumId w:val="2"/>
  </w:num>
  <w:num w:numId="12">
    <w:abstractNumId w:val="6"/>
  </w:num>
  <w:num w:numId="13">
    <w:abstractNumId w:val="5"/>
  </w:num>
  <w:num w:numId="14">
    <w:abstractNumId w:val="9"/>
  </w:num>
  <w:num w:numId="15">
    <w:abstractNumId w:val="10"/>
  </w:num>
  <w:num w:numId="16">
    <w:abstractNumId w:val="7"/>
  </w:num>
  <w:num w:numId="17">
    <w:abstractNumId w:val="4"/>
  </w:num>
  <w:num w:numId="18">
    <w:abstractNumId w:val="3"/>
  </w:num>
  <w:num w:numId="19">
    <w:abstractNumId w:val="17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33"/>
    <w:rsid w:val="00011C99"/>
    <w:rsid w:val="000138B4"/>
    <w:rsid w:val="00015FF2"/>
    <w:rsid w:val="0002371E"/>
    <w:rsid w:val="00025728"/>
    <w:rsid w:val="00031709"/>
    <w:rsid w:val="00037526"/>
    <w:rsid w:val="00040CFE"/>
    <w:rsid w:val="00045817"/>
    <w:rsid w:val="000513C4"/>
    <w:rsid w:val="00066012"/>
    <w:rsid w:val="0007608D"/>
    <w:rsid w:val="00092C99"/>
    <w:rsid w:val="000A2694"/>
    <w:rsid w:val="000B0376"/>
    <w:rsid w:val="000B1FCC"/>
    <w:rsid w:val="000B4EA8"/>
    <w:rsid w:val="000B7129"/>
    <w:rsid w:val="000C23AB"/>
    <w:rsid w:val="000D50CB"/>
    <w:rsid w:val="000E16E6"/>
    <w:rsid w:val="000E2CA8"/>
    <w:rsid w:val="000F011D"/>
    <w:rsid w:val="000F5E35"/>
    <w:rsid w:val="001023EB"/>
    <w:rsid w:val="001061F9"/>
    <w:rsid w:val="0011698E"/>
    <w:rsid w:val="00117AFD"/>
    <w:rsid w:val="00124AA7"/>
    <w:rsid w:val="00142BDF"/>
    <w:rsid w:val="001704B3"/>
    <w:rsid w:val="00170B18"/>
    <w:rsid w:val="00181E99"/>
    <w:rsid w:val="001822D1"/>
    <w:rsid w:val="0018607D"/>
    <w:rsid w:val="0018625D"/>
    <w:rsid w:val="001934F3"/>
    <w:rsid w:val="001937EA"/>
    <w:rsid w:val="001A310D"/>
    <w:rsid w:val="001A75AA"/>
    <w:rsid w:val="001A7E3F"/>
    <w:rsid w:val="001B2BB7"/>
    <w:rsid w:val="001C188A"/>
    <w:rsid w:val="001C56D1"/>
    <w:rsid w:val="001D54EC"/>
    <w:rsid w:val="001E1C17"/>
    <w:rsid w:val="001E26F9"/>
    <w:rsid w:val="001F4B2C"/>
    <w:rsid w:val="001F73F2"/>
    <w:rsid w:val="001F798C"/>
    <w:rsid w:val="00216C1C"/>
    <w:rsid w:val="00240032"/>
    <w:rsid w:val="00241482"/>
    <w:rsid w:val="002417A4"/>
    <w:rsid w:val="00244E89"/>
    <w:rsid w:val="00247298"/>
    <w:rsid w:val="00247D64"/>
    <w:rsid w:val="00284B65"/>
    <w:rsid w:val="00292E7C"/>
    <w:rsid w:val="002A531C"/>
    <w:rsid w:val="002B1357"/>
    <w:rsid w:val="002B1CD2"/>
    <w:rsid w:val="002B513D"/>
    <w:rsid w:val="002C1FA5"/>
    <w:rsid w:val="002C4566"/>
    <w:rsid w:val="002D16A1"/>
    <w:rsid w:val="002D39EA"/>
    <w:rsid w:val="002E5959"/>
    <w:rsid w:val="002F2B6D"/>
    <w:rsid w:val="002F48EE"/>
    <w:rsid w:val="0030209D"/>
    <w:rsid w:val="003066A5"/>
    <w:rsid w:val="00307E78"/>
    <w:rsid w:val="00311779"/>
    <w:rsid w:val="00324111"/>
    <w:rsid w:val="00327874"/>
    <w:rsid w:val="00330BA6"/>
    <w:rsid w:val="003338DC"/>
    <w:rsid w:val="00336C0F"/>
    <w:rsid w:val="003563A5"/>
    <w:rsid w:val="00366B3E"/>
    <w:rsid w:val="00366B99"/>
    <w:rsid w:val="00370902"/>
    <w:rsid w:val="00391364"/>
    <w:rsid w:val="003A1815"/>
    <w:rsid w:val="003B1FE6"/>
    <w:rsid w:val="003B2B9F"/>
    <w:rsid w:val="003E4D87"/>
    <w:rsid w:val="003F6C3C"/>
    <w:rsid w:val="003F6CDF"/>
    <w:rsid w:val="0040351F"/>
    <w:rsid w:val="0041106B"/>
    <w:rsid w:val="00421676"/>
    <w:rsid w:val="00431E0A"/>
    <w:rsid w:val="00446CDB"/>
    <w:rsid w:val="0046435F"/>
    <w:rsid w:val="004722A7"/>
    <w:rsid w:val="0047737D"/>
    <w:rsid w:val="00477E38"/>
    <w:rsid w:val="00480248"/>
    <w:rsid w:val="00480357"/>
    <w:rsid w:val="004836FF"/>
    <w:rsid w:val="00490F8C"/>
    <w:rsid w:val="004B4605"/>
    <w:rsid w:val="004C3053"/>
    <w:rsid w:val="004E32D6"/>
    <w:rsid w:val="004E4EFD"/>
    <w:rsid w:val="004F4D2D"/>
    <w:rsid w:val="004F5311"/>
    <w:rsid w:val="004F66BD"/>
    <w:rsid w:val="00501FF4"/>
    <w:rsid w:val="00505632"/>
    <w:rsid w:val="0052099B"/>
    <w:rsid w:val="00521136"/>
    <w:rsid w:val="00532DA3"/>
    <w:rsid w:val="005370F5"/>
    <w:rsid w:val="00537B58"/>
    <w:rsid w:val="00541444"/>
    <w:rsid w:val="00541B39"/>
    <w:rsid w:val="00544407"/>
    <w:rsid w:val="00544AA3"/>
    <w:rsid w:val="00561BE8"/>
    <w:rsid w:val="005728D6"/>
    <w:rsid w:val="0057564E"/>
    <w:rsid w:val="00582463"/>
    <w:rsid w:val="00595C04"/>
    <w:rsid w:val="005A1B3A"/>
    <w:rsid w:val="005B16A5"/>
    <w:rsid w:val="005B59D2"/>
    <w:rsid w:val="005B70E4"/>
    <w:rsid w:val="005C5BA2"/>
    <w:rsid w:val="005E1428"/>
    <w:rsid w:val="005E5C0D"/>
    <w:rsid w:val="005E6017"/>
    <w:rsid w:val="005F1E02"/>
    <w:rsid w:val="005F4A15"/>
    <w:rsid w:val="005F5333"/>
    <w:rsid w:val="00607663"/>
    <w:rsid w:val="00607AB6"/>
    <w:rsid w:val="0062245A"/>
    <w:rsid w:val="006264A6"/>
    <w:rsid w:val="006270EA"/>
    <w:rsid w:val="00631731"/>
    <w:rsid w:val="00632DD6"/>
    <w:rsid w:val="00652260"/>
    <w:rsid w:val="00664D74"/>
    <w:rsid w:val="00682CAD"/>
    <w:rsid w:val="006A167D"/>
    <w:rsid w:val="006B4218"/>
    <w:rsid w:val="006B54C1"/>
    <w:rsid w:val="006B64EF"/>
    <w:rsid w:val="006C1307"/>
    <w:rsid w:val="006D2D91"/>
    <w:rsid w:val="006E301D"/>
    <w:rsid w:val="006F092A"/>
    <w:rsid w:val="006F10CA"/>
    <w:rsid w:val="006F6062"/>
    <w:rsid w:val="00704C74"/>
    <w:rsid w:val="007127E4"/>
    <w:rsid w:val="00712EDB"/>
    <w:rsid w:val="007270A2"/>
    <w:rsid w:val="007323F7"/>
    <w:rsid w:val="00734C6C"/>
    <w:rsid w:val="00735A26"/>
    <w:rsid w:val="0076294B"/>
    <w:rsid w:val="00773600"/>
    <w:rsid w:val="00776987"/>
    <w:rsid w:val="00780225"/>
    <w:rsid w:val="007844EE"/>
    <w:rsid w:val="00793D9B"/>
    <w:rsid w:val="007946FD"/>
    <w:rsid w:val="0079622B"/>
    <w:rsid w:val="007A0599"/>
    <w:rsid w:val="007A5400"/>
    <w:rsid w:val="007A5F68"/>
    <w:rsid w:val="007A66C8"/>
    <w:rsid w:val="007B1493"/>
    <w:rsid w:val="007C23AA"/>
    <w:rsid w:val="007C45BE"/>
    <w:rsid w:val="007D184B"/>
    <w:rsid w:val="007D4BF9"/>
    <w:rsid w:val="007E0E4F"/>
    <w:rsid w:val="008134C9"/>
    <w:rsid w:val="00827734"/>
    <w:rsid w:val="00832A90"/>
    <w:rsid w:val="00841118"/>
    <w:rsid w:val="0084642A"/>
    <w:rsid w:val="0085150D"/>
    <w:rsid w:val="0085301A"/>
    <w:rsid w:val="00853C4C"/>
    <w:rsid w:val="00855454"/>
    <w:rsid w:val="008562B9"/>
    <w:rsid w:val="00856513"/>
    <w:rsid w:val="008621B1"/>
    <w:rsid w:val="00862951"/>
    <w:rsid w:val="00874855"/>
    <w:rsid w:val="008857E4"/>
    <w:rsid w:val="0089153A"/>
    <w:rsid w:val="00894174"/>
    <w:rsid w:val="008A1639"/>
    <w:rsid w:val="008A190A"/>
    <w:rsid w:val="008A4097"/>
    <w:rsid w:val="008A6730"/>
    <w:rsid w:val="008B12A5"/>
    <w:rsid w:val="008B568C"/>
    <w:rsid w:val="008C36DD"/>
    <w:rsid w:val="008C668D"/>
    <w:rsid w:val="008E1E1D"/>
    <w:rsid w:val="008F408C"/>
    <w:rsid w:val="0090164F"/>
    <w:rsid w:val="00901F62"/>
    <w:rsid w:val="00906DB4"/>
    <w:rsid w:val="00910A61"/>
    <w:rsid w:val="00912EF2"/>
    <w:rsid w:val="00913CBF"/>
    <w:rsid w:val="00920661"/>
    <w:rsid w:val="009223AD"/>
    <w:rsid w:val="009239BA"/>
    <w:rsid w:val="00930CDF"/>
    <w:rsid w:val="009322E0"/>
    <w:rsid w:val="00934D5F"/>
    <w:rsid w:val="00942CCF"/>
    <w:rsid w:val="00953D8A"/>
    <w:rsid w:val="0095782F"/>
    <w:rsid w:val="00960CF6"/>
    <w:rsid w:val="00964DEB"/>
    <w:rsid w:val="0096711F"/>
    <w:rsid w:val="00971BFA"/>
    <w:rsid w:val="00983BA9"/>
    <w:rsid w:val="00983F8E"/>
    <w:rsid w:val="009845C2"/>
    <w:rsid w:val="009848B7"/>
    <w:rsid w:val="00984FB0"/>
    <w:rsid w:val="00993728"/>
    <w:rsid w:val="009974FC"/>
    <w:rsid w:val="009A0E5D"/>
    <w:rsid w:val="009A62CF"/>
    <w:rsid w:val="009A7356"/>
    <w:rsid w:val="009B4E74"/>
    <w:rsid w:val="009C400C"/>
    <w:rsid w:val="009D1E73"/>
    <w:rsid w:val="009D4D7B"/>
    <w:rsid w:val="009E1818"/>
    <w:rsid w:val="009E2424"/>
    <w:rsid w:val="009F633A"/>
    <w:rsid w:val="00A019E6"/>
    <w:rsid w:val="00A01BDA"/>
    <w:rsid w:val="00A050B6"/>
    <w:rsid w:val="00A1594A"/>
    <w:rsid w:val="00A15A1E"/>
    <w:rsid w:val="00A177F3"/>
    <w:rsid w:val="00A24759"/>
    <w:rsid w:val="00A27383"/>
    <w:rsid w:val="00A32393"/>
    <w:rsid w:val="00A54321"/>
    <w:rsid w:val="00A619CD"/>
    <w:rsid w:val="00A61D04"/>
    <w:rsid w:val="00A66E47"/>
    <w:rsid w:val="00A67C72"/>
    <w:rsid w:val="00A729FD"/>
    <w:rsid w:val="00A971E8"/>
    <w:rsid w:val="00AA3754"/>
    <w:rsid w:val="00AB461B"/>
    <w:rsid w:val="00AC7091"/>
    <w:rsid w:val="00AC764B"/>
    <w:rsid w:val="00AD1D82"/>
    <w:rsid w:val="00AD4893"/>
    <w:rsid w:val="00AE0CE3"/>
    <w:rsid w:val="00AE1278"/>
    <w:rsid w:val="00AE7F91"/>
    <w:rsid w:val="00AF3FCC"/>
    <w:rsid w:val="00B04DE5"/>
    <w:rsid w:val="00B05052"/>
    <w:rsid w:val="00B1280D"/>
    <w:rsid w:val="00B15616"/>
    <w:rsid w:val="00B17F3C"/>
    <w:rsid w:val="00B344D7"/>
    <w:rsid w:val="00B346DA"/>
    <w:rsid w:val="00B46E8A"/>
    <w:rsid w:val="00B535CF"/>
    <w:rsid w:val="00B65AA4"/>
    <w:rsid w:val="00B66936"/>
    <w:rsid w:val="00B77255"/>
    <w:rsid w:val="00B7757E"/>
    <w:rsid w:val="00BA4B87"/>
    <w:rsid w:val="00BA5460"/>
    <w:rsid w:val="00BB6BCE"/>
    <w:rsid w:val="00BB7FCF"/>
    <w:rsid w:val="00BC557A"/>
    <w:rsid w:val="00BD24F5"/>
    <w:rsid w:val="00BD4E91"/>
    <w:rsid w:val="00BE28CB"/>
    <w:rsid w:val="00C05E7D"/>
    <w:rsid w:val="00C116C9"/>
    <w:rsid w:val="00C1418A"/>
    <w:rsid w:val="00C17026"/>
    <w:rsid w:val="00C22FF1"/>
    <w:rsid w:val="00C245D0"/>
    <w:rsid w:val="00C25E69"/>
    <w:rsid w:val="00C37D71"/>
    <w:rsid w:val="00C47CA2"/>
    <w:rsid w:val="00C50E57"/>
    <w:rsid w:val="00C5172B"/>
    <w:rsid w:val="00C57052"/>
    <w:rsid w:val="00C62FAF"/>
    <w:rsid w:val="00C6672C"/>
    <w:rsid w:val="00C671FC"/>
    <w:rsid w:val="00C725E8"/>
    <w:rsid w:val="00C755D6"/>
    <w:rsid w:val="00C80D80"/>
    <w:rsid w:val="00C8244A"/>
    <w:rsid w:val="00C82829"/>
    <w:rsid w:val="00C90838"/>
    <w:rsid w:val="00C92E05"/>
    <w:rsid w:val="00CA0A51"/>
    <w:rsid w:val="00CA1D9F"/>
    <w:rsid w:val="00CA2FBC"/>
    <w:rsid w:val="00CA4837"/>
    <w:rsid w:val="00CB0567"/>
    <w:rsid w:val="00CC3CF7"/>
    <w:rsid w:val="00CF2069"/>
    <w:rsid w:val="00CF4A05"/>
    <w:rsid w:val="00CF5F79"/>
    <w:rsid w:val="00D0594A"/>
    <w:rsid w:val="00D10942"/>
    <w:rsid w:val="00D14519"/>
    <w:rsid w:val="00D207E1"/>
    <w:rsid w:val="00D21583"/>
    <w:rsid w:val="00D2439E"/>
    <w:rsid w:val="00D266A0"/>
    <w:rsid w:val="00D27443"/>
    <w:rsid w:val="00D447D0"/>
    <w:rsid w:val="00D5276C"/>
    <w:rsid w:val="00D60298"/>
    <w:rsid w:val="00D62D6F"/>
    <w:rsid w:val="00D8536A"/>
    <w:rsid w:val="00D870F7"/>
    <w:rsid w:val="00D90B82"/>
    <w:rsid w:val="00DB470E"/>
    <w:rsid w:val="00DD0372"/>
    <w:rsid w:val="00DD5CCA"/>
    <w:rsid w:val="00DE2BCA"/>
    <w:rsid w:val="00DE5E4B"/>
    <w:rsid w:val="00DF2FAD"/>
    <w:rsid w:val="00DF3570"/>
    <w:rsid w:val="00DF37B4"/>
    <w:rsid w:val="00E01361"/>
    <w:rsid w:val="00E023AB"/>
    <w:rsid w:val="00E06930"/>
    <w:rsid w:val="00E216AB"/>
    <w:rsid w:val="00E46634"/>
    <w:rsid w:val="00E47803"/>
    <w:rsid w:val="00E47EFA"/>
    <w:rsid w:val="00E50C64"/>
    <w:rsid w:val="00E6533D"/>
    <w:rsid w:val="00E832A2"/>
    <w:rsid w:val="00E86027"/>
    <w:rsid w:val="00E94D2E"/>
    <w:rsid w:val="00E95737"/>
    <w:rsid w:val="00E966DA"/>
    <w:rsid w:val="00EC3258"/>
    <w:rsid w:val="00EC5AE9"/>
    <w:rsid w:val="00ED11EA"/>
    <w:rsid w:val="00ED5002"/>
    <w:rsid w:val="00ED6C26"/>
    <w:rsid w:val="00EE5548"/>
    <w:rsid w:val="00EF123F"/>
    <w:rsid w:val="00EF68A0"/>
    <w:rsid w:val="00F15D3F"/>
    <w:rsid w:val="00F16B34"/>
    <w:rsid w:val="00F21DCE"/>
    <w:rsid w:val="00F24059"/>
    <w:rsid w:val="00F246F8"/>
    <w:rsid w:val="00F2545B"/>
    <w:rsid w:val="00F346DF"/>
    <w:rsid w:val="00F5374D"/>
    <w:rsid w:val="00F539A1"/>
    <w:rsid w:val="00F70EF1"/>
    <w:rsid w:val="00F75C50"/>
    <w:rsid w:val="00F82636"/>
    <w:rsid w:val="00F91B71"/>
    <w:rsid w:val="00FA24E9"/>
    <w:rsid w:val="00FA74D4"/>
    <w:rsid w:val="00FA7753"/>
    <w:rsid w:val="00FB3FF8"/>
    <w:rsid w:val="00FB6DC3"/>
    <w:rsid w:val="00FB6DF9"/>
    <w:rsid w:val="00FC2CD6"/>
    <w:rsid w:val="00FF09E3"/>
    <w:rsid w:val="00FF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i">
    <w:name w:val="Normal"/>
    <w:qFormat/>
    <w:rPr>
      <w:rFonts w:ascii="Arial" w:hAnsi="Arial"/>
      <w:lang w:val="en-US" w:eastAsia="en-US"/>
    </w:rPr>
  </w:style>
  <w:style w:type="paragraph" w:styleId="Otsikko1">
    <w:name w:val="heading 1"/>
    <w:basedOn w:val="Normaali"/>
    <w:next w:val="Normaali"/>
    <w:link w:val="Otsikko1Char"/>
    <w:qFormat/>
    <w:pPr>
      <w:keepNext/>
      <w:outlineLvl w:val="0"/>
    </w:pPr>
    <w:rPr>
      <w:b/>
      <w:snapToGrid w:val="0"/>
      <w:sz w:val="32"/>
      <w:lang w:eastAsia="fi-FI"/>
    </w:rPr>
  </w:style>
  <w:style w:type="paragraph" w:styleId="Otsikko2">
    <w:name w:val="heading 2"/>
    <w:basedOn w:val="Normaali"/>
    <w:next w:val="Normaali"/>
    <w:qFormat/>
    <w:pPr>
      <w:keepNext/>
      <w:spacing w:before="240" w:after="60"/>
      <w:outlineLvl w:val="1"/>
    </w:pPr>
    <w:rPr>
      <w:b/>
      <w:i/>
      <w:sz w:val="28"/>
    </w:rPr>
  </w:style>
  <w:style w:type="paragraph" w:styleId="Otsikko3">
    <w:name w:val="heading 3"/>
    <w:basedOn w:val="Normaali"/>
    <w:next w:val="Normaali"/>
    <w:link w:val="Otsikko3Char"/>
    <w:qFormat/>
    <w:pPr>
      <w:keepNext/>
      <w:spacing w:before="240" w:after="60"/>
      <w:outlineLvl w:val="2"/>
    </w:pPr>
    <w:rPr>
      <w:rFonts w:cs="Arial"/>
      <w:b/>
      <w:sz w:val="24"/>
    </w:rPr>
  </w:style>
  <w:style w:type="paragraph" w:styleId="Otsikko4">
    <w:name w:val="heading 4"/>
    <w:basedOn w:val="Normaali"/>
    <w:next w:val="Normaali"/>
    <w:qFormat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paragraph" w:styleId="Otsikko5">
    <w:name w:val="heading 5"/>
    <w:basedOn w:val="Normaali"/>
    <w:next w:val="Normaali"/>
    <w:qFormat/>
    <w:pPr>
      <w:spacing w:before="240" w:after="60"/>
      <w:outlineLvl w:val="4"/>
    </w:pPr>
    <w:rPr>
      <w:sz w:val="22"/>
    </w:rPr>
  </w:style>
  <w:style w:type="paragraph" w:styleId="Otsikko6">
    <w:name w:val="heading 6"/>
    <w:basedOn w:val="Normaali"/>
    <w:next w:val="Normaali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tsikko7">
    <w:name w:val="heading 7"/>
    <w:basedOn w:val="Normaali"/>
    <w:next w:val="Normaali"/>
    <w:qFormat/>
    <w:pPr>
      <w:keepNext/>
      <w:outlineLvl w:val="6"/>
    </w:pPr>
    <w:rPr>
      <w:sz w:val="24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paragraph" w:styleId="Kuvanotsikko">
    <w:name w:val="caption"/>
    <w:basedOn w:val="Normaali"/>
    <w:next w:val="Normaali"/>
    <w:qFormat/>
    <w:pPr>
      <w:spacing w:before="120" w:after="120"/>
    </w:pPr>
    <w:rPr>
      <w:rFonts w:ascii="Times New Roman" w:hAnsi="Times New Roman"/>
      <w:b/>
    </w:rPr>
  </w:style>
  <w:style w:type="paragraph" w:styleId="Kuvaotsikkoluettelo">
    <w:name w:val="table of figures"/>
    <w:basedOn w:val="Normaali"/>
    <w:next w:val="Normaali"/>
    <w:semiHidden/>
    <w:pPr>
      <w:ind w:left="400" w:hanging="400"/>
    </w:pPr>
  </w:style>
  <w:style w:type="paragraph" w:customStyle="1" w:styleId="normalBodytext">
    <w:name w:val="normal Body text"/>
    <w:pPr>
      <w:spacing w:after="200"/>
    </w:pPr>
    <w:rPr>
      <w:lang w:val="en-US" w:eastAsia="en-US"/>
    </w:rPr>
  </w:style>
  <w:style w:type="paragraph" w:styleId="Leipteksti">
    <w:name w:val="Body Text"/>
    <w:basedOn w:val="Normaali"/>
    <w:rPr>
      <w:b/>
      <w:bCs/>
    </w:rPr>
  </w:style>
  <w:style w:type="paragraph" w:styleId="Sisluet1">
    <w:name w:val="toc 1"/>
    <w:basedOn w:val="Normaali"/>
    <w:next w:val="Normaali"/>
    <w:autoRedefine/>
    <w:semiHidden/>
    <w:pPr>
      <w:spacing w:before="120"/>
    </w:pPr>
    <w:rPr>
      <w:rFonts w:ascii="Times New Roman" w:hAnsi="Times New Roman"/>
      <w:b/>
      <w:i/>
      <w:sz w:val="24"/>
    </w:rPr>
  </w:style>
  <w:style w:type="paragraph" w:styleId="Sisluet2">
    <w:name w:val="toc 2"/>
    <w:basedOn w:val="Normaali"/>
    <w:next w:val="Normaali"/>
    <w:autoRedefine/>
    <w:semiHidden/>
    <w:pPr>
      <w:spacing w:before="120"/>
      <w:ind w:left="200"/>
    </w:pPr>
    <w:rPr>
      <w:rFonts w:ascii="Times New Roman" w:hAnsi="Times New Roman"/>
      <w:b/>
      <w:sz w:val="22"/>
    </w:rPr>
  </w:style>
  <w:style w:type="paragraph" w:styleId="Sisluet3">
    <w:name w:val="toc 3"/>
    <w:basedOn w:val="Normaali"/>
    <w:next w:val="Normaali"/>
    <w:autoRedefine/>
    <w:semiHidden/>
    <w:pPr>
      <w:ind w:left="400"/>
    </w:pPr>
    <w:rPr>
      <w:rFonts w:ascii="Times New Roman" w:hAnsi="Times New Roman"/>
    </w:rPr>
  </w:style>
  <w:style w:type="paragraph" w:styleId="Sisluet4">
    <w:name w:val="toc 4"/>
    <w:basedOn w:val="Normaali"/>
    <w:next w:val="Normaali"/>
    <w:autoRedefine/>
    <w:semiHidden/>
    <w:pPr>
      <w:ind w:left="600"/>
    </w:pPr>
    <w:rPr>
      <w:rFonts w:ascii="Times New Roman" w:hAnsi="Times New Roman"/>
    </w:rPr>
  </w:style>
  <w:style w:type="paragraph" w:styleId="Sisluet5">
    <w:name w:val="toc 5"/>
    <w:basedOn w:val="Normaali"/>
    <w:next w:val="Normaali"/>
    <w:autoRedefine/>
    <w:semiHidden/>
    <w:pPr>
      <w:ind w:left="800"/>
    </w:pPr>
    <w:rPr>
      <w:rFonts w:ascii="Times New Roman" w:hAnsi="Times New Roman"/>
    </w:rPr>
  </w:style>
  <w:style w:type="paragraph" w:styleId="Sisluet6">
    <w:name w:val="toc 6"/>
    <w:basedOn w:val="Normaali"/>
    <w:next w:val="Normaali"/>
    <w:autoRedefine/>
    <w:semiHidden/>
    <w:pPr>
      <w:ind w:left="1000"/>
    </w:pPr>
    <w:rPr>
      <w:rFonts w:ascii="Times New Roman" w:hAnsi="Times New Roman"/>
    </w:rPr>
  </w:style>
  <w:style w:type="paragraph" w:styleId="Sisluet7">
    <w:name w:val="toc 7"/>
    <w:basedOn w:val="Normaali"/>
    <w:next w:val="Normaali"/>
    <w:autoRedefine/>
    <w:semiHidden/>
    <w:pPr>
      <w:ind w:left="1200"/>
    </w:pPr>
    <w:rPr>
      <w:rFonts w:ascii="Times New Roman" w:hAnsi="Times New Roman"/>
    </w:rPr>
  </w:style>
  <w:style w:type="paragraph" w:styleId="Sisluet8">
    <w:name w:val="toc 8"/>
    <w:basedOn w:val="Normaali"/>
    <w:next w:val="Normaali"/>
    <w:autoRedefine/>
    <w:semiHidden/>
    <w:pPr>
      <w:ind w:left="1400"/>
    </w:pPr>
    <w:rPr>
      <w:rFonts w:ascii="Times New Roman" w:hAnsi="Times New Roman"/>
    </w:rPr>
  </w:style>
  <w:style w:type="paragraph" w:styleId="Sisluet9">
    <w:name w:val="toc 9"/>
    <w:basedOn w:val="Normaali"/>
    <w:next w:val="Normaali"/>
    <w:autoRedefine/>
    <w:semiHidden/>
    <w:pPr>
      <w:ind w:left="1600"/>
    </w:pPr>
    <w:rPr>
      <w:rFonts w:ascii="Times New Roman" w:hAnsi="Times New Roman"/>
    </w:rPr>
  </w:style>
  <w:style w:type="character" w:styleId="Hyperlinkki">
    <w:name w:val="Hyperlink"/>
    <w:rPr>
      <w:color w:val="0000FF"/>
      <w:u w:val="single"/>
    </w:r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Seliteteksti1">
    <w:name w:val="Seliteteksti1"/>
    <w:basedOn w:val="Normaali"/>
    <w:semiHidden/>
    <w:rPr>
      <w:rFonts w:ascii="Tahoma" w:hAnsi="Tahoma" w:cs="Tahoma"/>
      <w:sz w:val="16"/>
      <w:szCs w:val="16"/>
    </w:rPr>
  </w:style>
  <w:style w:type="character" w:customStyle="1" w:styleId="KuvanotsikkoChar">
    <w:name w:val="Kuvan otsikko Char"/>
    <w:rPr>
      <w:b/>
      <w:lang w:val="en-US" w:eastAsia="en-US" w:bidi="ar-SA"/>
    </w:rPr>
  </w:style>
  <w:style w:type="paragraph" w:styleId="Vaintekstin">
    <w:name w:val="Plain Text"/>
    <w:basedOn w:val="Normaali"/>
    <w:rPr>
      <w:rFonts w:ascii="Courier New" w:hAnsi="Courier New" w:cs="Courier New"/>
      <w:lang w:val="fi-FI" w:eastAsia="fi-FI"/>
    </w:rPr>
  </w:style>
  <w:style w:type="character" w:customStyle="1" w:styleId="CharChar">
    <w:name w:val=" Char Char"/>
    <w:rPr>
      <w:b/>
      <w:lang w:val="en-US" w:eastAsia="en-US" w:bidi="ar-SA"/>
    </w:rPr>
  </w:style>
  <w:style w:type="paragraph" w:styleId="Alaviitteenteksti">
    <w:name w:val="footnote text"/>
    <w:basedOn w:val="Normaali"/>
    <w:semiHidden/>
  </w:style>
  <w:style w:type="character" w:styleId="Alaviitteenviite">
    <w:name w:val="footnote reference"/>
    <w:semiHidden/>
    <w:rPr>
      <w:vertAlign w:val="superscript"/>
    </w:rPr>
  </w:style>
  <w:style w:type="character" w:customStyle="1" w:styleId="Otsikko1Char">
    <w:name w:val="Otsikko 1 Char"/>
    <w:link w:val="Otsikko1"/>
    <w:rsid w:val="00FA24E9"/>
    <w:rPr>
      <w:rFonts w:ascii="Arial" w:hAnsi="Arial"/>
      <w:b/>
      <w:snapToGrid w:val="0"/>
      <w:sz w:val="32"/>
      <w:lang w:val="en-US"/>
    </w:rPr>
  </w:style>
  <w:style w:type="character" w:customStyle="1" w:styleId="Otsikko3Char">
    <w:name w:val="Otsikko 3 Char"/>
    <w:link w:val="Otsikko3"/>
    <w:rsid w:val="00FA24E9"/>
    <w:rPr>
      <w:rFonts w:ascii="Arial" w:hAnsi="Arial" w:cs="Arial"/>
      <w:b/>
      <w:sz w:val="24"/>
      <w:lang w:val="en-US" w:eastAsia="en-US"/>
    </w:rPr>
  </w:style>
  <w:style w:type="paragraph" w:styleId="Seliteteksti">
    <w:name w:val="Balloon Text"/>
    <w:basedOn w:val="Normaali"/>
    <w:link w:val="SelitetekstiChar"/>
    <w:rsid w:val="00181E99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181E9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ali">
    <w:name w:val="Normal"/>
    <w:qFormat/>
    <w:rPr>
      <w:rFonts w:ascii="Arial" w:hAnsi="Arial"/>
      <w:lang w:val="en-US" w:eastAsia="en-US"/>
    </w:rPr>
  </w:style>
  <w:style w:type="paragraph" w:styleId="Otsikko1">
    <w:name w:val="heading 1"/>
    <w:basedOn w:val="Normaali"/>
    <w:next w:val="Normaali"/>
    <w:link w:val="Otsikko1Char"/>
    <w:qFormat/>
    <w:pPr>
      <w:keepNext/>
      <w:outlineLvl w:val="0"/>
    </w:pPr>
    <w:rPr>
      <w:b/>
      <w:snapToGrid w:val="0"/>
      <w:sz w:val="32"/>
      <w:lang w:eastAsia="fi-FI"/>
    </w:rPr>
  </w:style>
  <w:style w:type="paragraph" w:styleId="Otsikko2">
    <w:name w:val="heading 2"/>
    <w:basedOn w:val="Normaali"/>
    <w:next w:val="Normaali"/>
    <w:qFormat/>
    <w:pPr>
      <w:keepNext/>
      <w:spacing w:before="240" w:after="60"/>
      <w:outlineLvl w:val="1"/>
    </w:pPr>
    <w:rPr>
      <w:b/>
      <w:i/>
      <w:sz w:val="28"/>
    </w:rPr>
  </w:style>
  <w:style w:type="paragraph" w:styleId="Otsikko3">
    <w:name w:val="heading 3"/>
    <w:basedOn w:val="Normaali"/>
    <w:next w:val="Normaali"/>
    <w:link w:val="Otsikko3Char"/>
    <w:qFormat/>
    <w:pPr>
      <w:keepNext/>
      <w:spacing w:before="240" w:after="60"/>
      <w:outlineLvl w:val="2"/>
    </w:pPr>
    <w:rPr>
      <w:rFonts w:cs="Arial"/>
      <w:b/>
      <w:sz w:val="24"/>
    </w:rPr>
  </w:style>
  <w:style w:type="paragraph" w:styleId="Otsikko4">
    <w:name w:val="heading 4"/>
    <w:basedOn w:val="Normaali"/>
    <w:next w:val="Normaali"/>
    <w:qFormat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paragraph" w:styleId="Otsikko5">
    <w:name w:val="heading 5"/>
    <w:basedOn w:val="Normaali"/>
    <w:next w:val="Normaali"/>
    <w:qFormat/>
    <w:pPr>
      <w:spacing w:before="240" w:after="60"/>
      <w:outlineLvl w:val="4"/>
    </w:pPr>
    <w:rPr>
      <w:sz w:val="22"/>
    </w:rPr>
  </w:style>
  <w:style w:type="paragraph" w:styleId="Otsikko6">
    <w:name w:val="heading 6"/>
    <w:basedOn w:val="Normaali"/>
    <w:next w:val="Normaali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Otsikko7">
    <w:name w:val="heading 7"/>
    <w:basedOn w:val="Normaali"/>
    <w:next w:val="Normaali"/>
    <w:qFormat/>
    <w:pPr>
      <w:keepNext/>
      <w:outlineLvl w:val="6"/>
    </w:pPr>
    <w:rPr>
      <w:sz w:val="24"/>
    </w:rPr>
  </w:style>
  <w:style w:type="character" w:default="1" w:styleId="Kappaleenoletusfontti">
    <w:name w:val="Default Paragraph Font"/>
    <w:semiHidden/>
  </w:style>
  <w:style w:type="table" w:default="1" w:styleId="Normaalitaulukk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semiHidden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paragraph" w:styleId="Kuvanotsikko">
    <w:name w:val="caption"/>
    <w:basedOn w:val="Normaali"/>
    <w:next w:val="Normaali"/>
    <w:qFormat/>
    <w:pPr>
      <w:spacing w:before="120" w:after="120"/>
    </w:pPr>
    <w:rPr>
      <w:rFonts w:ascii="Times New Roman" w:hAnsi="Times New Roman"/>
      <w:b/>
    </w:rPr>
  </w:style>
  <w:style w:type="paragraph" w:styleId="Kuvaotsikkoluettelo">
    <w:name w:val="table of figures"/>
    <w:basedOn w:val="Normaali"/>
    <w:next w:val="Normaali"/>
    <w:semiHidden/>
    <w:pPr>
      <w:ind w:left="400" w:hanging="400"/>
    </w:pPr>
  </w:style>
  <w:style w:type="paragraph" w:customStyle="1" w:styleId="normalBodytext">
    <w:name w:val="normal Body text"/>
    <w:pPr>
      <w:spacing w:after="200"/>
    </w:pPr>
    <w:rPr>
      <w:lang w:val="en-US" w:eastAsia="en-US"/>
    </w:rPr>
  </w:style>
  <w:style w:type="paragraph" w:styleId="Leipteksti">
    <w:name w:val="Body Text"/>
    <w:basedOn w:val="Normaali"/>
    <w:rPr>
      <w:b/>
      <w:bCs/>
    </w:rPr>
  </w:style>
  <w:style w:type="paragraph" w:styleId="Sisluet1">
    <w:name w:val="toc 1"/>
    <w:basedOn w:val="Normaali"/>
    <w:next w:val="Normaali"/>
    <w:autoRedefine/>
    <w:semiHidden/>
    <w:pPr>
      <w:spacing w:before="120"/>
    </w:pPr>
    <w:rPr>
      <w:rFonts w:ascii="Times New Roman" w:hAnsi="Times New Roman"/>
      <w:b/>
      <w:i/>
      <w:sz w:val="24"/>
    </w:rPr>
  </w:style>
  <w:style w:type="paragraph" w:styleId="Sisluet2">
    <w:name w:val="toc 2"/>
    <w:basedOn w:val="Normaali"/>
    <w:next w:val="Normaali"/>
    <w:autoRedefine/>
    <w:semiHidden/>
    <w:pPr>
      <w:spacing w:before="120"/>
      <w:ind w:left="200"/>
    </w:pPr>
    <w:rPr>
      <w:rFonts w:ascii="Times New Roman" w:hAnsi="Times New Roman"/>
      <w:b/>
      <w:sz w:val="22"/>
    </w:rPr>
  </w:style>
  <w:style w:type="paragraph" w:styleId="Sisluet3">
    <w:name w:val="toc 3"/>
    <w:basedOn w:val="Normaali"/>
    <w:next w:val="Normaali"/>
    <w:autoRedefine/>
    <w:semiHidden/>
    <w:pPr>
      <w:ind w:left="400"/>
    </w:pPr>
    <w:rPr>
      <w:rFonts w:ascii="Times New Roman" w:hAnsi="Times New Roman"/>
    </w:rPr>
  </w:style>
  <w:style w:type="paragraph" w:styleId="Sisluet4">
    <w:name w:val="toc 4"/>
    <w:basedOn w:val="Normaali"/>
    <w:next w:val="Normaali"/>
    <w:autoRedefine/>
    <w:semiHidden/>
    <w:pPr>
      <w:ind w:left="600"/>
    </w:pPr>
    <w:rPr>
      <w:rFonts w:ascii="Times New Roman" w:hAnsi="Times New Roman"/>
    </w:rPr>
  </w:style>
  <w:style w:type="paragraph" w:styleId="Sisluet5">
    <w:name w:val="toc 5"/>
    <w:basedOn w:val="Normaali"/>
    <w:next w:val="Normaali"/>
    <w:autoRedefine/>
    <w:semiHidden/>
    <w:pPr>
      <w:ind w:left="800"/>
    </w:pPr>
    <w:rPr>
      <w:rFonts w:ascii="Times New Roman" w:hAnsi="Times New Roman"/>
    </w:rPr>
  </w:style>
  <w:style w:type="paragraph" w:styleId="Sisluet6">
    <w:name w:val="toc 6"/>
    <w:basedOn w:val="Normaali"/>
    <w:next w:val="Normaali"/>
    <w:autoRedefine/>
    <w:semiHidden/>
    <w:pPr>
      <w:ind w:left="1000"/>
    </w:pPr>
    <w:rPr>
      <w:rFonts w:ascii="Times New Roman" w:hAnsi="Times New Roman"/>
    </w:rPr>
  </w:style>
  <w:style w:type="paragraph" w:styleId="Sisluet7">
    <w:name w:val="toc 7"/>
    <w:basedOn w:val="Normaali"/>
    <w:next w:val="Normaali"/>
    <w:autoRedefine/>
    <w:semiHidden/>
    <w:pPr>
      <w:ind w:left="1200"/>
    </w:pPr>
    <w:rPr>
      <w:rFonts w:ascii="Times New Roman" w:hAnsi="Times New Roman"/>
    </w:rPr>
  </w:style>
  <w:style w:type="paragraph" w:styleId="Sisluet8">
    <w:name w:val="toc 8"/>
    <w:basedOn w:val="Normaali"/>
    <w:next w:val="Normaali"/>
    <w:autoRedefine/>
    <w:semiHidden/>
    <w:pPr>
      <w:ind w:left="1400"/>
    </w:pPr>
    <w:rPr>
      <w:rFonts w:ascii="Times New Roman" w:hAnsi="Times New Roman"/>
    </w:rPr>
  </w:style>
  <w:style w:type="paragraph" w:styleId="Sisluet9">
    <w:name w:val="toc 9"/>
    <w:basedOn w:val="Normaali"/>
    <w:next w:val="Normaali"/>
    <w:autoRedefine/>
    <w:semiHidden/>
    <w:pPr>
      <w:ind w:left="1600"/>
    </w:pPr>
    <w:rPr>
      <w:rFonts w:ascii="Times New Roman" w:hAnsi="Times New Roman"/>
    </w:rPr>
  </w:style>
  <w:style w:type="character" w:styleId="Hyperlinkki">
    <w:name w:val="Hyperlink"/>
    <w:rPr>
      <w:color w:val="0000FF"/>
      <w:u w:val="single"/>
    </w:r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Seliteteksti1">
    <w:name w:val="Seliteteksti1"/>
    <w:basedOn w:val="Normaali"/>
    <w:semiHidden/>
    <w:rPr>
      <w:rFonts w:ascii="Tahoma" w:hAnsi="Tahoma" w:cs="Tahoma"/>
      <w:sz w:val="16"/>
      <w:szCs w:val="16"/>
    </w:rPr>
  </w:style>
  <w:style w:type="character" w:customStyle="1" w:styleId="KuvanotsikkoChar">
    <w:name w:val="Kuvan otsikko Char"/>
    <w:rPr>
      <w:b/>
      <w:lang w:val="en-US" w:eastAsia="en-US" w:bidi="ar-SA"/>
    </w:rPr>
  </w:style>
  <w:style w:type="paragraph" w:styleId="Vaintekstin">
    <w:name w:val="Plain Text"/>
    <w:basedOn w:val="Normaali"/>
    <w:rPr>
      <w:rFonts w:ascii="Courier New" w:hAnsi="Courier New" w:cs="Courier New"/>
      <w:lang w:val="fi-FI" w:eastAsia="fi-FI"/>
    </w:rPr>
  </w:style>
  <w:style w:type="character" w:customStyle="1" w:styleId="CharChar">
    <w:name w:val=" Char Char"/>
    <w:rPr>
      <w:b/>
      <w:lang w:val="en-US" w:eastAsia="en-US" w:bidi="ar-SA"/>
    </w:rPr>
  </w:style>
  <w:style w:type="paragraph" w:styleId="Alaviitteenteksti">
    <w:name w:val="footnote text"/>
    <w:basedOn w:val="Normaali"/>
    <w:semiHidden/>
  </w:style>
  <w:style w:type="character" w:styleId="Alaviitteenviite">
    <w:name w:val="footnote reference"/>
    <w:semiHidden/>
    <w:rPr>
      <w:vertAlign w:val="superscript"/>
    </w:rPr>
  </w:style>
  <w:style w:type="character" w:customStyle="1" w:styleId="Otsikko1Char">
    <w:name w:val="Otsikko 1 Char"/>
    <w:link w:val="Otsikko1"/>
    <w:rsid w:val="00FA24E9"/>
    <w:rPr>
      <w:rFonts w:ascii="Arial" w:hAnsi="Arial"/>
      <w:b/>
      <w:snapToGrid w:val="0"/>
      <w:sz w:val="32"/>
      <w:lang w:val="en-US"/>
    </w:rPr>
  </w:style>
  <w:style w:type="character" w:customStyle="1" w:styleId="Otsikko3Char">
    <w:name w:val="Otsikko 3 Char"/>
    <w:link w:val="Otsikko3"/>
    <w:rsid w:val="00FA24E9"/>
    <w:rPr>
      <w:rFonts w:ascii="Arial" w:hAnsi="Arial" w:cs="Arial"/>
      <w:b/>
      <w:sz w:val="24"/>
      <w:lang w:val="en-US" w:eastAsia="en-US"/>
    </w:rPr>
  </w:style>
  <w:style w:type="paragraph" w:styleId="Seliteteksti">
    <w:name w:val="Balloon Text"/>
    <w:basedOn w:val="Normaali"/>
    <w:link w:val="SelitetekstiChar"/>
    <w:rsid w:val="00181E99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181E9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hjelmatiedostot\Microsoft%20Office\Mallit\Hyksmallit\HUS-logokirje.do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HUS-logokirje</Template>
  <TotalTime>1</TotalTime>
  <Pages>1</Pages>
  <Words>1201</Words>
  <Characters>9733</Characters>
  <Application>Microsoft Office Word</Application>
  <DocSecurity>0</DocSecurity>
  <Lines>81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 	</vt:lpstr>
    </vt:vector>
  </TitlesOfParts>
  <Company>HYKS</Company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</dc:creator>
  <cp:lastModifiedBy>Antti Juhani</cp:lastModifiedBy>
  <cp:revision>4</cp:revision>
  <cp:lastPrinted>2016-06-07T11:04:00Z</cp:lastPrinted>
  <dcterms:created xsi:type="dcterms:W3CDTF">2016-06-07T11:04:00Z</dcterms:created>
  <dcterms:modified xsi:type="dcterms:W3CDTF">2016-06-07T11:05:00Z</dcterms:modified>
</cp:coreProperties>
</file>