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2D7C3B67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lastRenderedPageBreak/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3ACA29E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  <w:r w:rsidR="00734FFD">
        <w:rPr>
          <w:noProof/>
        </w:rPr>
        <w:t xml:space="preserve">(12 total, </w:t>
      </w:r>
      <w:r w:rsidR="00734FFD" w:rsidRPr="00A75159">
        <w:rPr>
          <w:b/>
          <w:noProof/>
        </w:rPr>
        <w:t>11</w:t>
      </w:r>
      <w:r w:rsidR="00734FFD">
        <w:rPr>
          <w:noProof/>
        </w:rPr>
        <w:t xml:space="preserve"> </w:t>
      </w:r>
      <w:r w:rsidR="00A75159">
        <w:rPr>
          <w:noProof/>
        </w:rPr>
        <w:t>w/o n/a)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349BB18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  <w:r w:rsidR="00A75159">
        <w:rPr>
          <w:noProof/>
        </w:rPr>
        <w:t xml:space="preserve">(4 total, </w:t>
      </w:r>
      <w:r w:rsidR="00A75159" w:rsidRPr="00A75159">
        <w:rPr>
          <w:b/>
          <w:noProof/>
        </w:rPr>
        <w:t>3</w:t>
      </w:r>
      <w:r w:rsidR="00A75159">
        <w:rPr>
          <w:noProof/>
        </w:rPr>
        <w:t xml:space="preserve"> w/o n/a)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6AE16B39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  <w:r w:rsidR="00A75159">
        <w:rPr>
          <w:noProof/>
        </w:rPr>
        <w:t xml:space="preserve"> (8, 7)</w:t>
      </w:r>
      <w:bookmarkStart w:id="0" w:name="_GoBack"/>
      <w:bookmarkEnd w:id="0"/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786F702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  <w:r w:rsidR="00A75159">
        <w:rPr>
          <w:noProof/>
        </w:rPr>
        <w:t xml:space="preserve"> (3, 2)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2C1F1D3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  <w:r w:rsidR="00A75159">
        <w:rPr>
          <w:noProof/>
        </w:rPr>
        <w:t xml:space="preserve"> (3, 2)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7AD2C0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  <w:r w:rsidR="00A75159">
        <w:rPr>
          <w:noProof/>
        </w:rPr>
        <w:t xml:space="preserve"> (3, 2) 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B83BA2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  <w:r w:rsidR="00A75159">
        <w:rPr>
          <w:noProof/>
        </w:rPr>
        <w:t xml:space="preserve"> (2)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487A9D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  <w:r w:rsidR="00A75159">
        <w:rPr>
          <w:noProof/>
        </w:rPr>
        <w:t xml:space="preserve"> (12)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2A624EA5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  <w:r w:rsidR="00A75159">
        <w:rPr>
          <w:noProof/>
        </w:rPr>
        <w:t xml:space="preserve"> (5)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21781A3E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  <w:r w:rsidR="00A75159">
        <w:rPr>
          <w:noProof/>
        </w:rPr>
        <w:t xml:space="preserve"> (3)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0F034D"/>
    <w:rsid w:val="00136AAB"/>
    <w:rsid w:val="001A30B3"/>
    <w:rsid w:val="001D1810"/>
    <w:rsid w:val="0022449E"/>
    <w:rsid w:val="00241C80"/>
    <w:rsid w:val="00273776"/>
    <w:rsid w:val="0027621A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34FFD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75159"/>
    <w:rsid w:val="00A97E1E"/>
    <w:rsid w:val="00AC4653"/>
    <w:rsid w:val="00AE031F"/>
    <w:rsid w:val="00AF4F3B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D1121E"/>
    <w:rsid w:val="00D3719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4FBEF133-4FDF-7B41-AAFF-2F27BB3D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5</cp:revision>
  <dcterms:created xsi:type="dcterms:W3CDTF">2021-05-09T23:19:00Z</dcterms:created>
  <dcterms:modified xsi:type="dcterms:W3CDTF">2021-05-17T22:15:00Z</dcterms:modified>
</cp:coreProperties>
</file>