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 xml:space="preserve">; </w:t>
      </w:r>
      <w:bookmarkStart w:id="0" w:name="_GoBack"/>
      <w:commentRangeStart w:id="1"/>
      <w:r w:rsidR="009B17D8">
        <w:rPr>
          <w:rFonts w:asciiTheme="majorHAnsi" w:hAnsiTheme="majorHAnsi" w:cstheme="majorHAnsi"/>
        </w:rPr>
        <w:t>compute VIF statistics</w:t>
      </w:r>
      <w:bookmarkEnd w:id="0"/>
      <w:commentRangeEnd w:id="1"/>
      <w:r w:rsidR="00B36F7D">
        <w:rPr>
          <w:rStyle w:val="CommentReference"/>
          <w:rFonts w:ascii="Calibri" w:eastAsiaTheme="minorEastAsia" w:hAnsi="Calibri" w:cstheme="minorBidi"/>
          <w:lang w:eastAsia="en-US"/>
        </w:rPr>
        <w:commentReference w:id="1"/>
      </w:r>
      <w:r w:rsidR="009B17D8">
        <w:rPr>
          <w:rFonts w:asciiTheme="majorHAnsi" w:hAnsiTheme="majorHAnsi" w:cstheme="majorHAnsi"/>
        </w:rPr>
        <w:t>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2D7C3B67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10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</w:t>
      </w:r>
      <w:r w:rsidRPr="00EE2918">
        <w:rPr>
          <w:noProof/>
        </w:rPr>
        <w:lastRenderedPageBreak/>
        <w:t>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3ACA29E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  <w:r w:rsidR="00734FFD">
        <w:rPr>
          <w:noProof/>
        </w:rPr>
        <w:t xml:space="preserve">(12 total, </w:t>
      </w:r>
      <w:r w:rsidR="00734FFD" w:rsidRPr="00A75159">
        <w:rPr>
          <w:b/>
          <w:noProof/>
        </w:rPr>
        <w:t>11</w:t>
      </w:r>
      <w:r w:rsidR="00734FFD">
        <w:rPr>
          <w:noProof/>
        </w:rPr>
        <w:t xml:space="preserve"> </w:t>
      </w:r>
      <w:r w:rsidR="00A75159">
        <w:rPr>
          <w:noProof/>
        </w:rPr>
        <w:t>w/o n/a)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349BB18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  <w:r w:rsidR="00A75159">
        <w:rPr>
          <w:noProof/>
        </w:rPr>
        <w:t xml:space="preserve">(4 total, </w:t>
      </w:r>
      <w:r w:rsidR="00A75159" w:rsidRPr="00A75159">
        <w:rPr>
          <w:b/>
          <w:noProof/>
        </w:rPr>
        <w:t>3</w:t>
      </w:r>
      <w:r w:rsidR="00A75159">
        <w:rPr>
          <w:noProof/>
        </w:rPr>
        <w:t xml:space="preserve"> w/o n/a)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unknow</w:t>
      </w:r>
      <w:r>
        <w:rPr>
          <w:noProof/>
        </w:rPr>
        <w:t>n</w:t>
      </w:r>
    </w:p>
    <w:p w14:paraId="7A83CDD3" w14:textId="6AE16B39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  <w:r w:rsidR="00A75159">
        <w:rPr>
          <w:noProof/>
        </w:rPr>
        <w:t xml:space="preserve"> (8, 7)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786F702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  <w:r w:rsidR="00A75159">
        <w:rPr>
          <w:noProof/>
        </w:rPr>
        <w:t xml:space="preserve"> (3, 2)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2C1F1D3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  <w:r w:rsidR="00A75159">
        <w:rPr>
          <w:noProof/>
        </w:rPr>
        <w:t xml:space="preserve"> (3, 2)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7AD2C0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  <w:r w:rsidR="00A75159">
        <w:rPr>
          <w:noProof/>
        </w:rPr>
        <w:t xml:space="preserve"> (3, 2) 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B83BA2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  <w:r w:rsidR="00A75159">
        <w:rPr>
          <w:noProof/>
        </w:rPr>
        <w:t xml:space="preserve"> (2)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487A9DC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  <w:r w:rsidR="00A75159">
        <w:rPr>
          <w:noProof/>
        </w:rPr>
        <w:t xml:space="preserve"> (12)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2A624EA5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  <w:r w:rsidR="00A75159">
        <w:rPr>
          <w:noProof/>
        </w:rPr>
        <w:t xml:space="preserve"> (5)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21781A3E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  <w:r w:rsidR="00A75159">
        <w:rPr>
          <w:noProof/>
        </w:rPr>
        <w:t xml:space="preserve"> (3)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ystal Contreras" w:date="2021-05-19T10:56:00Z" w:initials="CC">
    <w:p w14:paraId="7CC37A36" w14:textId="18678BF8" w:rsidR="00B36F7D" w:rsidRDefault="00B36F7D">
      <w:pPr>
        <w:pStyle w:val="CommentText"/>
      </w:pPr>
      <w:r>
        <w:rPr>
          <w:rStyle w:val="CommentReference"/>
        </w:rPr>
        <w:annotationRef/>
      </w:r>
      <w:r>
        <w:t>I don’t think VIF statistics are computed on SAS for logistic regression.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C37A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C37A36" w16cid:durableId="244F6D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ystal Contreras">
    <w15:presenceInfo w15:providerId="None" w15:userId="Crystal Contre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0F034D"/>
    <w:rsid w:val="00136AAB"/>
    <w:rsid w:val="001A30B3"/>
    <w:rsid w:val="001D1810"/>
    <w:rsid w:val="0022449E"/>
    <w:rsid w:val="00241C80"/>
    <w:rsid w:val="00273776"/>
    <w:rsid w:val="0027621A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34FFD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75159"/>
    <w:rsid w:val="00A97E1E"/>
    <w:rsid w:val="00AC4653"/>
    <w:rsid w:val="00AE031F"/>
    <w:rsid w:val="00AF4F3B"/>
    <w:rsid w:val="00B36F7D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CA7C50"/>
    <w:rsid w:val="00D1121E"/>
    <w:rsid w:val="00D3719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janiobachmann/bank-marketing-dataset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9E19F1B7-D11C-754B-801C-EE34AF4E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6</cp:revision>
  <dcterms:created xsi:type="dcterms:W3CDTF">2021-05-09T23:19:00Z</dcterms:created>
  <dcterms:modified xsi:type="dcterms:W3CDTF">2021-05-19T17:22:00Z</dcterms:modified>
</cp:coreProperties>
</file>