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2FBF6" w14:textId="77777777" w:rsidR="000472D4" w:rsidRPr="00231EA7" w:rsidRDefault="00805D3D" w:rsidP="00DE4E19">
      <w:pPr>
        <w:pStyle w:val="Heading1"/>
        <w:spacing w:after="240"/>
        <w:rPr>
          <w:lang w:val="en-GB"/>
        </w:rPr>
      </w:pPr>
      <w:r w:rsidRPr="00231EA7">
        <w:rPr>
          <w:lang w:val="en-GB"/>
        </w:rPr>
        <w:t>List of Figures</w:t>
      </w:r>
    </w:p>
    <w:p w14:paraId="572715D7" w14:textId="77777777" w:rsidR="00805D3D" w:rsidRPr="00231EA7" w:rsidRDefault="00805D3D" w:rsidP="00DE4E19">
      <w:pPr>
        <w:spacing w:after="240" w:line="360" w:lineRule="auto"/>
        <w:rPr>
          <w:sz w:val="22"/>
          <w:szCs w:val="22"/>
          <w:lang w:val="en-GB"/>
        </w:rPr>
      </w:pPr>
      <w:r w:rsidRPr="00231EA7">
        <w:rPr>
          <w:b/>
          <w:sz w:val="22"/>
          <w:szCs w:val="22"/>
          <w:lang w:val="en-GB"/>
        </w:rPr>
        <w:t>Figure 1</w:t>
      </w:r>
      <w:r w:rsidRPr="00231EA7">
        <w:rPr>
          <w:sz w:val="22"/>
          <w:szCs w:val="22"/>
          <w:lang w:val="en-GB"/>
        </w:rPr>
        <w:t>: Extreme example of a non-continuous LAI profile near the equator in the LAIre dataset.</w:t>
      </w:r>
    </w:p>
    <w:p w14:paraId="1EAE3AEF" w14:textId="77777777" w:rsidR="00805D3D" w:rsidRPr="00231EA7" w:rsidRDefault="00805D3D" w:rsidP="00DE4E19">
      <w:pPr>
        <w:spacing w:after="240" w:line="360" w:lineRule="auto"/>
        <w:rPr>
          <w:sz w:val="22"/>
          <w:szCs w:val="22"/>
          <w:lang w:val="en-GB"/>
        </w:rPr>
      </w:pPr>
      <w:r w:rsidRPr="00231EA7">
        <w:rPr>
          <w:b/>
          <w:sz w:val="22"/>
          <w:szCs w:val="22"/>
          <w:lang w:val="en-GB"/>
        </w:rPr>
        <w:t>Figure 2</w:t>
      </w:r>
      <w:r w:rsidRPr="00231EA7">
        <w:rPr>
          <w:sz w:val="22"/>
          <w:szCs w:val="22"/>
          <w:lang w:val="en-GB"/>
        </w:rPr>
        <w:t>: Illustration of the extraction methods for LSP parameters. The Midpoint (MP) method sets the date of SOS</w:t>
      </w:r>
      <w:r w:rsidRPr="00231EA7">
        <w:rPr>
          <w:sz w:val="22"/>
          <w:szCs w:val="22"/>
          <w:vertAlign w:val="subscript"/>
          <w:lang w:val="en-GB"/>
        </w:rPr>
        <w:t>MP</w:t>
      </w:r>
      <w:r w:rsidRPr="00231EA7">
        <w:rPr>
          <w:sz w:val="22"/>
          <w:szCs w:val="22"/>
          <w:lang w:val="en-GB"/>
        </w:rPr>
        <w:t xml:space="preserve"> at half the total intra-annual peak-to-peak amplitude. The Maxincrease (MI) method sets the date of SOS</w:t>
      </w:r>
      <w:r w:rsidRPr="00231EA7">
        <w:rPr>
          <w:sz w:val="22"/>
          <w:szCs w:val="22"/>
          <w:vertAlign w:val="subscript"/>
          <w:lang w:val="en-GB"/>
        </w:rPr>
        <w:t>MI</w:t>
      </w:r>
      <w:r w:rsidRPr="00231EA7">
        <w:rPr>
          <w:sz w:val="22"/>
          <w:szCs w:val="22"/>
          <w:lang w:val="en-GB"/>
        </w:rPr>
        <w:t xml:space="preserve"> at point of steepest increase in the LAI profile. EOS is set at the point where the curve goes under the SOS value again.</w:t>
      </w:r>
    </w:p>
    <w:p w14:paraId="2DA011A1" w14:textId="77777777" w:rsidR="00805D3D" w:rsidRPr="00231EA7" w:rsidRDefault="00805D3D" w:rsidP="00DE4E19">
      <w:pPr>
        <w:spacing w:after="240" w:line="360" w:lineRule="auto"/>
        <w:rPr>
          <w:sz w:val="22"/>
          <w:szCs w:val="22"/>
          <w:lang w:val="en-GB"/>
        </w:rPr>
      </w:pPr>
      <w:r w:rsidRPr="00231EA7">
        <w:rPr>
          <w:b/>
          <w:sz w:val="22"/>
          <w:szCs w:val="22"/>
          <w:lang w:val="en-GB"/>
        </w:rPr>
        <w:t>Figure 3</w:t>
      </w:r>
      <w:r w:rsidRPr="00231EA7">
        <w:rPr>
          <w:sz w:val="22"/>
          <w:szCs w:val="22"/>
          <w:lang w:val="en-GB"/>
        </w:rPr>
        <w:t>: SOS and EOS are extracted from LAI profile (black) and then climatic controls (red, blue, green, taken from Jolly et al., 2005) in the 30 days prior to SOS/EOS can be extracted.</w:t>
      </w:r>
    </w:p>
    <w:p w14:paraId="1F01BFAE" w14:textId="41D7D111" w:rsidR="00805D3D" w:rsidRPr="00231EA7" w:rsidRDefault="00805D3D" w:rsidP="00DE4E19">
      <w:pPr>
        <w:spacing w:after="240" w:line="360" w:lineRule="auto"/>
        <w:rPr>
          <w:sz w:val="22"/>
          <w:szCs w:val="22"/>
          <w:lang w:val="en-GB"/>
        </w:rPr>
      </w:pPr>
      <w:r w:rsidRPr="00231EA7">
        <w:rPr>
          <w:b/>
          <w:sz w:val="22"/>
          <w:szCs w:val="22"/>
          <w:lang w:val="en-GB"/>
        </w:rPr>
        <w:t>Figure 4</w:t>
      </w:r>
      <w:r w:rsidRPr="00231EA7">
        <w:rPr>
          <w:sz w:val="22"/>
          <w:szCs w:val="22"/>
          <w:lang w:val="en-GB"/>
        </w:rPr>
        <w:t>: Correlation coefficients between LAIre and LAI3g for each 15-day period from 1982 – 2011</w:t>
      </w:r>
      <w:r w:rsidR="00A11325">
        <w:rPr>
          <w:sz w:val="22"/>
          <w:szCs w:val="22"/>
          <w:lang w:val="en-GB"/>
        </w:rPr>
        <w:t>.</w:t>
      </w:r>
      <w:bookmarkStart w:id="0" w:name="_GoBack"/>
      <w:bookmarkEnd w:id="0"/>
    </w:p>
    <w:p w14:paraId="5CB29A3B" w14:textId="77777777" w:rsidR="00805D3D" w:rsidRPr="00231EA7" w:rsidRDefault="00805D3D" w:rsidP="00DE4E19">
      <w:pPr>
        <w:spacing w:after="240" w:line="360" w:lineRule="auto"/>
        <w:rPr>
          <w:sz w:val="22"/>
          <w:szCs w:val="22"/>
          <w:lang w:val="en-GB"/>
        </w:rPr>
      </w:pPr>
      <w:r w:rsidRPr="00231EA7">
        <w:rPr>
          <w:b/>
          <w:sz w:val="22"/>
          <w:szCs w:val="22"/>
          <w:lang w:val="en-GB"/>
        </w:rPr>
        <w:t>Figure 5</w:t>
      </w:r>
      <w:r w:rsidRPr="00231EA7">
        <w:rPr>
          <w:sz w:val="22"/>
          <w:szCs w:val="22"/>
          <w:lang w:val="en-GB"/>
        </w:rPr>
        <w:t>: Difference in days for SOS (left) and EOS (right) estimations from LAIre relative to LAI3g for 1996, extracted with the midpoint method. Negative values (brown) represent an earlier date in LAIre than LAI3g, positive values (blue) represent a later date in LAIre than LAI3g.</w:t>
      </w:r>
    </w:p>
    <w:p w14:paraId="3425C65C" w14:textId="77777777" w:rsidR="00805D3D" w:rsidRPr="00231EA7" w:rsidRDefault="00805D3D" w:rsidP="00DE4E19">
      <w:pPr>
        <w:spacing w:after="240" w:line="360" w:lineRule="auto"/>
        <w:rPr>
          <w:sz w:val="22"/>
          <w:szCs w:val="22"/>
          <w:lang w:val="en-GB"/>
        </w:rPr>
      </w:pPr>
      <w:r w:rsidRPr="00231EA7">
        <w:rPr>
          <w:b/>
          <w:sz w:val="22"/>
          <w:szCs w:val="22"/>
          <w:lang w:val="en-GB"/>
        </w:rPr>
        <w:t>Figure 6</w:t>
      </w:r>
      <w:r w:rsidRPr="00231EA7">
        <w:rPr>
          <w:sz w:val="22"/>
          <w:szCs w:val="22"/>
          <w:lang w:val="en-GB"/>
        </w:rPr>
        <w:t>: Trends in in Growing Season Length from 1982 – 2011 for LAI3g (left) and LAI3g (right) in days/decade. Differences are visible particularly in the Sahel.</w:t>
      </w:r>
    </w:p>
    <w:p w14:paraId="77F77B8F" w14:textId="159CF7B6" w:rsidR="00805D3D" w:rsidRPr="00231EA7" w:rsidRDefault="00805D3D" w:rsidP="00DE4E19">
      <w:pPr>
        <w:spacing w:after="240" w:line="360" w:lineRule="auto"/>
        <w:rPr>
          <w:sz w:val="22"/>
          <w:szCs w:val="22"/>
          <w:lang w:val="en-GB"/>
        </w:rPr>
      </w:pPr>
      <w:r w:rsidRPr="00231EA7">
        <w:rPr>
          <w:b/>
          <w:sz w:val="22"/>
          <w:szCs w:val="22"/>
          <w:lang w:val="en-GB"/>
        </w:rPr>
        <w:t>Figure 7</w:t>
      </w:r>
      <w:r w:rsidRPr="00231EA7">
        <w:rPr>
          <w:sz w:val="22"/>
          <w:szCs w:val="22"/>
          <w:lang w:val="en-GB"/>
        </w:rPr>
        <w:t>: Yearly dominating controls in 1982 (left) and 2010 (right) showing large-scale change in moisture control in Brazil</w:t>
      </w:r>
      <w:r w:rsidR="00A11325">
        <w:rPr>
          <w:sz w:val="22"/>
          <w:szCs w:val="22"/>
          <w:lang w:val="en-GB"/>
        </w:rPr>
        <w:t>.</w:t>
      </w:r>
    </w:p>
    <w:p w14:paraId="145E39B9" w14:textId="1AF073F3" w:rsidR="00805D3D" w:rsidRPr="00D76351" w:rsidRDefault="00805D3D" w:rsidP="00DE4E19">
      <w:pPr>
        <w:spacing w:after="240" w:line="360" w:lineRule="auto"/>
        <w:rPr>
          <w:sz w:val="22"/>
          <w:szCs w:val="22"/>
          <w:lang w:val="en-GB"/>
        </w:rPr>
      </w:pPr>
      <w:r w:rsidRPr="00231EA7">
        <w:rPr>
          <w:b/>
          <w:sz w:val="22"/>
          <w:szCs w:val="22"/>
          <w:lang w:val="en-GB"/>
        </w:rPr>
        <w:t>Figure 8</w:t>
      </w:r>
      <w:r w:rsidRPr="00D76351">
        <w:rPr>
          <w:sz w:val="22"/>
          <w:szCs w:val="22"/>
          <w:lang w:val="en-GB"/>
        </w:rPr>
        <w:t xml:space="preserve">: </w:t>
      </w:r>
      <w:r w:rsidR="00D76351" w:rsidRPr="00D76351">
        <w:rPr>
          <w:sz w:val="22"/>
          <w:szCs w:val="22"/>
          <w:lang w:val="en-GB"/>
        </w:rPr>
        <w:t>Quarterly changes in temperature limitation in percentage points per decade</w:t>
      </w:r>
      <w:r w:rsidR="00A11325">
        <w:rPr>
          <w:sz w:val="22"/>
          <w:szCs w:val="22"/>
          <w:lang w:val="en-GB"/>
        </w:rPr>
        <w:t>.</w:t>
      </w:r>
    </w:p>
    <w:p w14:paraId="7DD91C0F" w14:textId="4CE57CC5" w:rsidR="00805D3D" w:rsidRPr="00231EA7" w:rsidRDefault="00805D3D" w:rsidP="00DE4E19">
      <w:pPr>
        <w:spacing w:after="240" w:line="360" w:lineRule="auto"/>
        <w:rPr>
          <w:sz w:val="22"/>
          <w:szCs w:val="22"/>
          <w:lang w:val="en-GB"/>
        </w:rPr>
      </w:pPr>
      <w:r w:rsidRPr="00231EA7">
        <w:rPr>
          <w:b/>
          <w:sz w:val="22"/>
          <w:szCs w:val="22"/>
          <w:lang w:val="en-GB"/>
        </w:rPr>
        <w:t>Figure 9</w:t>
      </w:r>
      <w:r w:rsidRPr="00231EA7">
        <w:rPr>
          <w:sz w:val="22"/>
          <w:szCs w:val="22"/>
          <w:lang w:val="en-GB"/>
        </w:rPr>
        <w:t>: Quarterly changes in moisture limitation in percentage points per decade</w:t>
      </w:r>
      <w:r w:rsidR="00A11325">
        <w:rPr>
          <w:sz w:val="22"/>
          <w:szCs w:val="22"/>
          <w:lang w:val="en-GB"/>
        </w:rPr>
        <w:t>.</w:t>
      </w:r>
    </w:p>
    <w:p w14:paraId="311E2C8D" w14:textId="37B243F2" w:rsidR="00805D3D" w:rsidRPr="00231EA7" w:rsidRDefault="00805D3D" w:rsidP="00DE4E19">
      <w:pPr>
        <w:spacing w:after="240" w:line="360" w:lineRule="auto"/>
        <w:rPr>
          <w:sz w:val="22"/>
          <w:szCs w:val="22"/>
          <w:lang w:val="en-GB"/>
        </w:rPr>
      </w:pPr>
      <w:r w:rsidRPr="00231EA7">
        <w:rPr>
          <w:b/>
          <w:sz w:val="22"/>
          <w:szCs w:val="22"/>
          <w:lang w:val="en-GB"/>
        </w:rPr>
        <w:t>Figure 10</w:t>
      </w:r>
      <w:r w:rsidRPr="00231EA7">
        <w:rPr>
          <w:sz w:val="22"/>
          <w:szCs w:val="22"/>
          <w:lang w:val="en-GB"/>
        </w:rPr>
        <w:t>: Dominating controls at EOS for the years 1991 (left) and 1992 (right) showing big variability particularly for Europe and Northern America</w:t>
      </w:r>
      <w:r w:rsidR="00A11325">
        <w:rPr>
          <w:sz w:val="22"/>
          <w:szCs w:val="22"/>
          <w:lang w:val="en-GB"/>
        </w:rPr>
        <w:t>.</w:t>
      </w:r>
    </w:p>
    <w:p w14:paraId="2DAD88C9" w14:textId="6506247A" w:rsidR="00805D3D" w:rsidRPr="00231EA7" w:rsidRDefault="00805D3D" w:rsidP="00DE4E19">
      <w:pPr>
        <w:spacing w:after="240" w:line="360" w:lineRule="auto"/>
        <w:rPr>
          <w:sz w:val="22"/>
          <w:szCs w:val="22"/>
          <w:lang w:val="en-GB"/>
        </w:rPr>
      </w:pPr>
      <w:r w:rsidRPr="00231EA7">
        <w:rPr>
          <w:b/>
          <w:sz w:val="22"/>
          <w:szCs w:val="22"/>
          <w:lang w:val="en-GB"/>
        </w:rPr>
        <w:t>Figure 11</w:t>
      </w:r>
      <w:r w:rsidRPr="00231EA7">
        <w:rPr>
          <w:sz w:val="22"/>
          <w:szCs w:val="22"/>
          <w:lang w:val="en-GB"/>
        </w:rPr>
        <w:t>: Shifts in moisture limitation at SOS (left) and EOS (right) from 1982 – 2011 based on LSP parameters extracted from LAIre</w:t>
      </w:r>
      <w:r w:rsidR="00A11325">
        <w:rPr>
          <w:sz w:val="22"/>
          <w:szCs w:val="22"/>
          <w:lang w:val="en-GB"/>
        </w:rPr>
        <w:t>.</w:t>
      </w:r>
    </w:p>
    <w:p w14:paraId="4CDFEDFE" w14:textId="77777777" w:rsidR="00805D3D" w:rsidRPr="00231EA7" w:rsidRDefault="00805D3D" w:rsidP="00DE4E19">
      <w:pPr>
        <w:spacing w:after="240" w:line="360" w:lineRule="auto"/>
        <w:rPr>
          <w:sz w:val="22"/>
          <w:szCs w:val="22"/>
          <w:lang w:val="en-GB"/>
        </w:rPr>
      </w:pPr>
      <w:r w:rsidRPr="00231EA7">
        <w:rPr>
          <w:b/>
          <w:sz w:val="22"/>
          <w:szCs w:val="22"/>
          <w:lang w:val="en-GB"/>
        </w:rPr>
        <w:lastRenderedPageBreak/>
        <w:t>Figure 12</w:t>
      </w:r>
      <w:r w:rsidRPr="00231EA7">
        <w:rPr>
          <w:sz w:val="22"/>
          <w:szCs w:val="22"/>
          <w:lang w:val="en-GB"/>
        </w:rPr>
        <w:t>: Shifts in temperature limitation at SOS (left) and EOS (right) from 1982 – 2011 based on SOS/EOS extracted from LAIre. Trends are given in percentage points per decade.</w:t>
      </w:r>
    </w:p>
    <w:p w14:paraId="0A055902" w14:textId="77777777" w:rsidR="00805D3D" w:rsidRPr="00231EA7" w:rsidRDefault="00805D3D" w:rsidP="00DE4E19">
      <w:pPr>
        <w:spacing w:after="240" w:line="360" w:lineRule="auto"/>
        <w:rPr>
          <w:sz w:val="22"/>
          <w:szCs w:val="22"/>
          <w:lang w:val="en-GB"/>
        </w:rPr>
      </w:pPr>
      <w:r w:rsidRPr="00231EA7">
        <w:rPr>
          <w:b/>
          <w:sz w:val="22"/>
          <w:szCs w:val="22"/>
          <w:lang w:val="en-GB"/>
        </w:rPr>
        <w:t>Figure 13</w:t>
      </w:r>
      <w:r w:rsidRPr="00231EA7">
        <w:rPr>
          <w:sz w:val="22"/>
          <w:szCs w:val="22"/>
          <w:lang w:val="en-GB"/>
        </w:rPr>
        <w:t>: Shifts in radiation limitation at SOS (left) and EOS (right) from 1982 – 2011 based on SOS/EOS extracted from LAIre.</w:t>
      </w:r>
    </w:p>
    <w:p w14:paraId="134B4DDC" w14:textId="77777777" w:rsidR="00805D3D" w:rsidRPr="00231EA7" w:rsidRDefault="00805D3D" w:rsidP="00DE4E19">
      <w:pPr>
        <w:spacing w:after="240" w:line="360" w:lineRule="auto"/>
        <w:rPr>
          <w:rFonts w:ascii="Cambria" w:hAnsi="Cambria"/>
          <w:sz w:val="22"/>
          <w:szCs w:val="22"/>
          <w:lang w:val="en-GB"/>
        </w:rPr>
      </w:pPr>
      <w:r w:rsidRPr="00231EA7">
        <w:rPr>
          <w:b/>
          <w:sz w:val="22"/>
          <w:szCs w:val="22"/>
          <w:lang w:val="en-GB"/>
        </w:rPr>
        <w:t>Figure 14</w:t>
      </w:r>
      <w:r w:rsidRPr="00231EA7">
        <w:rPr>
          <w:sz w:val="22"/>
          <w:szCs w:val="22"/>
          <w:lang w:val="en-GB"/>
        </w:rPr>
        <w:t xml:space="preserve">: </w:t>
      </w:r>
      <w:r w:rsidRPr="00231EA7">
        <w:rPr>
          <w:rFonts w:ascii="Cambria" w:hAnsi="Cambria"/>
          <w:sz w:val="22"/>
          <w:szCs w:val="22"/>
          <w:lang w:val="en-GB"/>
        </w:rPr>
        <w:t>Scatterplot of raw values from LAI3g and LAIre for the period of September 1. – 15. 1985.  Green: Differences due to resampling of LAI3g dataset (coastal areas). Red: Saturation effect of LAI3g in the tropics where LAIre estimates higher values.</w:t>
      </w:r>
    </w:p>
    <w:p w14:paraId="76100C10" w14:textId="183DC61B" w:rsidR="00805D3D" w:rsidRPr="00231EA7" w:rsidRDefault="00805D3D" w:rsidP="00DE4E19">
      <w:pPr>
        <w:spacing w:after="240" w:line="360" w:lineRule="auto"/>
        <w:rPr>
          <w:rFonts w:ascii="Cambria" w:hAnsi="Cambria"/>
          <w:sz w:val="22"/>
          <w:szCs w:val="22"/>
          <w:lang w:val="en-GB"/>
        </w:rPr>
      </w:pPr>
      <w:r w:rsidRPr="00231EA7">
        <w:rPr>
          <w:b/>
          <w:sz w:val="22"/>
          <w:szCs w:val="22"/>
          <w:lang w:val="en-GB"/>
        </w:rPr>
        <w:t>Figure 15</w:t>
      </w:r>
      <w:r w:rsidRPr="00231EA7">
        <w:rPr>
          <w:sz w:val="22"/>
          <w:szCs w:val="22"/>
          <w:lang w:val="en-GB"/>
        </w:rPr>
        <w:t xml:space="preserve">: </w:t>
      </w:r>
      <w:r w:rsidRPr="00231EA7">
        <w:rPr>
          <w:rFonts w:ascii="Cambria" w:hAnsi="Cambria"/>
          <w:sz w:val="22"/>
          <w:szCs w:val="22"/>
          <w:lang w:val="en-GB"/>
        </w:rPr>
        <w:t>Vulnerability of EOS-date extraction to small changes in LAI-value of SOS/EOS due to the gentler slope during senescence</w:t>
      </w:r>
      <w:r w:rsidR="00A11325">
        <w:rPr>
          <w:rFonts w:ascii="Cambria" w:hAnsi="Cambria"/>
          <w:sz w:val="22"/>
          <w:szCs w:val="22"/>
          <w:lang w:val="en-GB"/>
        </w:rPr>
        <w:t>.</w:t>
      </w:r>
    </w:p>
    <w:p w14:paraId="39641802" w14:textId="32FC6865" w:rsidR="00805D3D" w:rsidRPr="00231EA7" w:rsidRDefault="00805D3D" w:rsidP="00DE4E19">
      <w:pPr>
        <w:spacing w:after="240" w:line="360" w:lineRule="auto"/>
        <w:rPr>
          <w:rFonts w:ascii="Cambria" w:hAnsi="Cambria"/>
          <w:sz w:val="22"/>
          <w:szCs w:val="22"/>
          <w:lang w:val="en-GB"/>
        </w:rPr>
      </w:pPr>
      <w:r w:rsidRPr="00231EA7">
        <w:rPr>
          <w:b/>
          <w:sz w:val="22"/>
          <w:szCs w:val="22"/>
          <w:lang w:val="en-GB"/>
        </w:rPr>
        <w:t>Figure 16</w:t>
      </w:r>
      <w:r w:rsidRPr="00231EA7">
        <w:rPr>
          <w:sz w:val="22"/>
          <w:szCs w:val="22"/>
          <w:lang w:val="en-GB"/>
        </w:rPr>
        <w:t xml:space="preserve">: </w:t>
      </w:r>
      <w:r w:rsidRPr="00231EA7">
        <w:rPr>
          <w:rFonts w:ascii="Cambria" w:hAnsi="Cambria"/>
          <w:sz w:val="22"/>
          <w:szCs w:val="22"/>
          <w:lang w:val="en-GB"/>
        </w:rPr>
        <w:t>Map showing the number of different dominating controls from 1982 – 2011. Areas show</w:t>
      </w:r>
      <w:r w:rsidR="00A11325">
        <w:rPr>
          <w:rFonts w:ascii="Cambria" w:hAnsi="Cambria"/>
          <w:sz w:val="22"/>
          <w:szCs w:val="22"/>
          <w:lang w:val="en-GB"/>
        </w:rPr>
        <w:t>ing</w:t>
      </w:r>
      <w:r w:rsidRPr="00231EA7">
        <w:rPr>
          <w:rFonts w:ascii="Cambria" w:hAnsi="Cambria"/>
          <w:sz w:val="22"/>
          <w:szCs w:val="22"/>
          <w:lang w:val="en-GB"/>
        </w:rPr>
        <w:t xml:space="preserve"> 2 dominating controls correspond to ecotones</w:t>
      </w:r>
      <w:r w:rsidR="00A11325">
        <w:rPr>
          <w:rFonts w:ascii="Cambria" w:hAnsi="Cambria"/>
          <w:sz w:val="22"/>
          <w:szCs w:val="22"/>
          <w:lang w:val="en-GB"/>
        </w:rPr>
        <w:t>.</w:t>
      </w:r>
    </w:p>
    <w:p w14:paraId="41158440" w14:textId="4DAAF35C" w:rsidR="00805D3D" w:rsidRPr="00231EA7" w:rsidRDefault="00805D3D" w:rsidP="00DE4E19">
      <w:pPr>
        <w:spacing w:after="240" w:line="360" w:lineRule="auto"/>
        <w:rPr>
          <w:rFonts w:ascii="Cambria" w:hAnsi="Cambria"/>
          <w:sz w:val="22"/>
          <w:szCs w:val="22"/>
          <w:lang w:val="en-GB"/>
        </w:rPr>
      </w:pPr>
      <w:r w:rsidRPr="00231EA7">
        <w:rPr>
          <w:b/>
          <w:sz w:val="22"/>
          <w:szCs w:val="22"/>
          <w:lang w:val="en-GB"/>
        </w:rPr>
        <w:t>Figure 17</w:t>
      </w:r>
      <w:r w:rsidRPr="00231EA7">
        <w:rPr>
          <w:sz w:val="22"/>
          <w:szCs w:val="22"/>
          <w:lang w:val="en-GB"/>
        </w:rPr>
        <w:t xml:space="preserve">: </w:t>
      </w:r>
      <w:r w:rsidRPr="00231EA7">
        <w:rPr>
          <w:rFonts w:ascii="Cambria" w:hAnsi="Cambria"/>
          <w:b/>
          <w:sz w:val="22"/>
          <w:szCs w:val="22"/>
          <w:lang w:val="en-GB"/>
        </w:rPr>
        <w:t>C</w:t>
      </w:r>
      <w:r w:rsidRPr="00231EA7">
        <w:rPr>
          <w:rFonts w:ascii="Cambria" w:hAnsi="Cambria"/>
          <w:sz w:val="22"/>
          <w:szCs w:val="22"/>
          <w:lang w:val="en-GB"/>
        </w:rPr>
        <w:t>omparison of (a) dominating controls at SOS, (b) changes in the temperature limitation during the second quarter of the year and (c) decadal change of SOS from 1982 – 2011</w:t>
      </w:r>
      <w:r w:rsidR="00A11325">
        <w:rPr>
          <w:rFonts w:ascii="Cambria" w:hAnsi="Cambria"/>
          <w:sz w:val="22"/>
          <w:szCs w:val="22"/>
          <w:lang w:val="en-GB"/>
        </w:rPr>
        <w:t>.</w:t>
      </w:r>
    </w:p>
    <w:p w14:paraId="40F10289" w14:textId="14E5C45D" w:rsidR="00805D3D" w:rsidRPr="00231EA7" w:rsidRDefault="00805D3D" w:rsidP="00DE4E19">
      <w:pPr>
        <w:spacing w:after="240" w:line="360" w:lineRule="auto"/>
        <w:rPr>
          <w:rFonts w:ascii="Cambria" w:hAnsi="Cambria"/>
          <w:sz w:val="22"/>
          <w:szCs w:val="22"/>
          <w:lang w:val="en-GB"/>
        </w:rPr>
      </w:pPr>
      <w:r w:rsidRPr="00231EA7">
        <w:rPr>
          <w:b/>
          <w:sz w:val="22"/>
          <w:szCs w:val="22"/>
          <w:lang w:val="en-GB"/>
        </w:rPr>
        <w:t>Figure 18</w:t>
      </w:r>
      <w:r w:rsidRPr="00231EA7">
        <w:rPr>
          <w:sz w:val="22"/>
          <w:szCs w:val="22"/>
          <w:lang w:val="en-GB"/>
        </w:rPr>
        <w:t xml:space="preserve">: </w:t>
      </w:r>
      <w:r w:rsidRPr="00231EA7">
        <w:rPr>
          <w:rFonts w:ascii="Cambria" w:hAnsi="Cambria"/>
          <w:sz w:val="22"/>
          <w:szCs w:val="22"/>
          <w:lang w:val="en-GB"/>
        </w:rPr>
        <w:t>Shift in temperature control (a) and LAI (b) for first half of the year for 1982 and 2011 towards an earlier date in the northern hemisphere</w:t>
      </w:r>
      <w:r w:rsidR="00A11325">
        <w:rPr>
          <w:rFonts w:ascii="Cambria" w:hAnsi="Cambria"/>
          <w:sz w:val="22"/>
          <w:szCs w:val="22"/>
          <w:lang w:val="en-GB"/>
        </w:rPr>
        <w:t>.</w:t>
      </w:r>
    </w:p>
    <w:p w14:paraId="523CD9EA" w14:textId="3246E684" w:rsidR="00805D3D" w:rsidRPr="00231EA7" w:rsidRDefault="00805D3D" w:rsidP="00DE4E19">
      <w:pPr>
        <w:spacing w:after="240" w:line="360" w:lineRule="auto"/>
        <w:rPr>
          <w:rFonts w:ascii="Cambria" w:hAnsi="Cambria"/>
          <w:sz w:val="22"/>
          <w:szCs w:val="22"/>
          <w:lang w:val="en-GB"/>
        </w:rPr>
      </w:pPr>
      <w:r w:rsidRPr="00231EA7">
        <w:rPr>
          <w:b/>
          <w:sz w:val="22"/>
          <w:szCs w:val="22"/>
          <w:lang w:val="en-GB"/>
        </w:rPr>
        <w:t>Figure 19</w:t>
      </w:r>
      <w:r w:rsidRPr="00231EA7">
        <w:rPr>
          <w:sz w:val="22"/>
          <w:szCs w:val="22"/>
          <w:lang w:val="en-GB"/>
        </w:rPr>
        <w:t xml:space="preserve">: </w:t>
      </w:r>
      <w:r w:rsidRPr="00231EA7">
        <w:rPr>
          <w:rFonts w:ascii="Cambria" w:hAnsi="Cambria"/>
          <w:sz w:val="22"/>
          <w:szCs w:val="22"/>
          <w:lang w:val="en-GB"/>
        </w:rPr>
        <w:t>Comparison of (a) dominating controls at SOS, (b) changes in moisture limitation in the 3</w:t>
      </w:r>
      <w:r w:rsidRPr="00231EA7">
        <w:rPr>
          <w:rFonts w:ascii="Cambria" w:hAnsi="Cambria"/>
          <w:sz w:val="22"/>
          <w:szCs w:val="22"/>
          <w:vertAlign w:val="superscript"/>
          <w:lang w:val="en-GB"/>
        </w:rPr>
        <w:t>rd</w:t>
      </w:r>
      <w:r w:rsidRPr="00231EA7">
        <w:rPr>
          <w:rFonts w:ascii="Cambria" w:hAnsi="Cambria"/>
          <w:sz w:val="22"/>
          <w:szCs w:val="22"/>
          <w:lang w:val="en-GB"/>
        </w:rPr>
        <w:t xml:space="preserve"> quarter and (c) decadal change of SOS from 1982 – 2011 for South America and Africa</w:t>
      </w:r>
      <w:r w:rsidR="00A11325">
        <w:rPr>
          <w:rFonts w:ascii="Cambria" w:hAnsi="Cambria"/>
          <w:sz w:val="22"/>
          <w:szCs w:val="22"/>
          <w:lang w:val="en-GB"/>
        </w:rPr>
        <w:t>.</w:t>
      </w:r>
    </w:p>
    <w:p w14:paraId="7F971F1E" w14:textId="005EC71D" w:rsidR="00805D3D" w:rsidRDefault="00011E11" w:rsidP="00DE4E19">
      <w:pPr>
        <w:pStyle w:val="Heading1"/>
        <w:spacing w:after="240"/>
        <w:rPr>
          <w:lang w:val="en-GB"/>
        </w:rPr>
      </w:pPr>
      <w:r>
        <w:rPr>
          <w:lang w:val="en-GB"/>
        </w:rPr>
        <w:t>List of Tables</w:t>
      </w:r>
    </w:p>
    <w:p w14:paraId="3347EC2E" w14:textId="05D708F8" w:rsidR="00011E11" w:rsidRPr="00DE4E19" w:rsidRDefault="00DE4E19" w:rsidP="00FB524C">
      <w:pPr>
        <w:spacing w:after="240" w:line="360" w:lineRule="auto"/>
        <w:rPr>
          <w:rFonts w:eastAsia="Times New Roman" w:cs="Times New Roman"/>
          <w:color w:val="000000"/>
          <w:sz w:val="22"/>
          <w:szCs w:val="22"/>
          <w:lang w:val="en-GB"/>
        </w:rPr>
      </w:pPr>
      <w:r w:rsidRPr="00DE4E19">
        <w:rPr>
          <w:rFonts w:eastAsia="Times New Roman" w:cs="Times New Roman"/>
          <w:b/>
          <w:color w:val="000000"/>
          <w:sz w:val="22"/>
          <w:szCs w:val="22"/>
          <w:lang w:val="en-GB"/>
        </w:rPr>
        <w:t xml:space="preserve">Table 1: </w:t>
      </w:r>
      <w:r w:rsidRPr="00DE4E19">
        <w:rPr>
          <w:rFonts w:eastAsia="Times New Roman" w:cs="Times New Roman"/>
          <w:color w:val="000000"/>
          <w:sz w:val="22"/>
          <w:szCs w:val="22"/>
          <w:lang w:val="en-GB"/>
        </w:rPr>
        <w:t>Average pearson’s correlation coefficients and covariance of bimonthly raw and yearly mean, minimum and maximum LAI values</w:t>
      </w:r>
    </w:p>
    <w:p w14:paraId="32C83855" w14:textId="2D4BE802" w:rsidR="00DE4E19" w:rsidRPr="00DE4E19" w:rsidRDefault="00DE4E19" w:rsidP="00FB524C">
      <w:pPr>
        <w:spacing w:after="240" w:line="360" w:lineRule="auto"/>
        <w:rPr>
          <w:sz w:val="22"/>
          <w:szCs w:val="22"/>
          <w:lang w:val="en-GB"/>
        </w:rPr>
      </w:pPr>
      <w:r w:rsidRPr="00DE4E19">
        <w:rPr>
          <w:rFonts w:eastAsia="Times New Roman" w:cs="Times New Roman"/>
          <w:b/>
          <w:color w:val="000000"/>
          <w:sz w:val="22"/>
          <w:szCs w:val="22"/>
          <w:lang w:val="en-US"/>
        </w:rPr>
        <w:t>Table 2</w:t>
      </w:r>
      <w:r w:rsidRPr="00DE4E19">
        <w:rPr>
          <w:rFonts w:eastAsia="Times New Roman" w:cs="Times New Roman"/>
          <w:color w:val="000000"/>
          <w:sz w:val="22"/>
          <w:szCs w:val="22"/>
          <w:lang w:val="en-US"/>
        </w:rPr>
        <w:t>: Average Pearson’s correlation coefficients comparing LSP parameters extracted from LAIre and LAI3g with the Midpoint (MP) and Maxincrease (MI) method</w:t>
      </w:r>
    </w:p>
    <w:sectPr w:rsidR="00DE4E19" w:rsidRPr="00DE4E19" w:rsidSect="00E143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93EB1"/>
    <w:multiLevelType w:val="hybridMultilevel"/>
    <w:tmpl w:val="8886F078"/>
    <w:lvl w:ilvl="0" w:tplc="B2BC4A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D3D"/>
    <w:rsid w:val="00011E11"/>
    <w:rsid w:val="000472D4"/>
    <w:rsid w:val="00231EA7"/>
    <w:rsid w:val="00805D3D"/>
    <w:rsid w:val="0083479F"/>
    <w:rsid w:val="00A11325"/>
    <w:rsid w:val="00D76351"/>
    <w:rsid w:val="00DE4E19"/>
    <w:rsid w:val="00E14374"/>
    <w:rsid w:val="00F620F1"/>
    <w:rsid w:val="00FB52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D6C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231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3479F"/>
    <w:pPr>
      <w:keepNext/>
      <w:widowControl w:val="0"/>
      <w:numPr>
        <w:numId w:val="2"/>
      </w:numPr>
      <w:tabs>
        <w:tab w:val="clear" w:pos="360"/>
      </w:tabs>
      <w:spacing w:before="240" w:after="60"/>
      <w:ind w:left="720" w:hanging="36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character" w:customStyle="1" w:styleId="Heading1Char">
    <w:name w:val="Heading 1 Char"/>
    <w:basedOn w:val="DefaultParagraphFont"/>
    <w:link w:val="Heading1"/>
    <w:uiPriority w:val="9"/>
    <w:rsid w:val="00231EA7"/>
    <w:rPr>
      <w:rFonts w:asciiTheme="majorHAnsi" w:eastAsiaTheme="majorEastAsia" w:hAnsiTheme="majorHAnsi" w:cstheme="majorBidi"/>
      <w:b/>
      <w:bCs/>
      <w:color w:val="345A8A" w:themeColor="accent1" w:themeShade="B5"/>
      <w:sz w:val="32"/>
      <w:szCs w:val="32"/>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231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3479F"/>
    <w:pPr>
      <w:keepNext/>
      <w:widowControl w:val="0"/>
      <w:numPr>
        <w:numId w:val="2"/>
      </w:numPr>
      <w:tabs>
        <w:tab w:val="clear" w:pos="360"/>
      </w:tabs>
      <w:spacing w:before="240" w:after="60"/>
      <w:ind w:left="720" w:hanging="36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character" w:customStyle="1" w:styleId="Heading1Char">
    <w:name w:val="Heading 1 Char"/>
    <w:basedOn w:val="DefaultParagraphFont"/>
    <w:link w:val="Heading1"/>
    <w:uiPriority w:val="9"/>
    <w:rsid w:val="00231EA7"/>
    <w:rPr>
      <w:rFonts w:asciiTheme="majorHAnsi" w:eastAsiaTheme="majorEastAsia" w:hAnsiTheme="majorHAnsi" w:cstheme="majorBidi"/>
      <w:b/>
      <w:bCs/>
      <w:color w:val="345A8A" w:themeColor="accent1" w:themeShade="B5"/>
      <w:sz w:val="32"/>
      <w:szCs w:val="3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515</Words>
  <Characters>2938</Characters>
  <Application>Microsoft Macintosh Word</Application>
  <DocSecurity>0</DocSecurity>
  <Lines>24</Lines>
  <Paragraphs>6</Paragraphs>
  <ScaleCrop>false</ScaleCrop>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Quack</dc:creator>
  <cp:keywords/>
  <dc:description/>
  <cp:lastModifiedBy>Herbert Quack</cp:lastModifiedBy>
  <cp:revision>8</cp:revision>
  <dcterms:created xsi:type="dcterms:W3CDTF">2015-09-15T19:00:00Z</dcterms:created>
  <dcterms:modified xsi:type="dcterms:W3CDTF">2015-09-18T23:54:00Z</dcterms:modified>
</cp:coreProperties>
</file>