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D055B4"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33571"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33572"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OCHeading"/>
          </w:pPr>
          <w:r>
            <w:t>Índice</w:t>
          </w:r>
        </w:p>
        <w:p w:rsidR="004C36AC" w:rsidRDefault="000941D6">
          <w:pPr>
            <w:pStyle w:val="TOC1"/>
            <w:tabs>
              <w:tab w:val="right" w:leader="dot" w:pos="9629"/>
            </w:tabs>
            <w:rPr>
              <w:noProof/>
              <w:lang w:eastAsia="es-AR"/>
            </w:rPr>
          </w:pPr>
          <w:r>
            <w:fldChar w:fldCharType="begin"/>
          </w:r>
          <w:r>
            <w:instrText xml:space="preserve"> TOC \o "1-3" \h \z \u </w:instrText>
          </w:r>
          <w:r>
            <w:fldChar w:fldCharType="separate"/>
          </w:r>
          <w:hyperlink w:anchor="_Toc306990043" w:history="1">
            <w:r w:rsidR="004C36AC" w:rsidRPr="003D7677">
              <w:rPr>
                <w:rStyle w:val="Hyperlink"/>
                <w:noProof/>
              </w:rPr>
              <w:t>Especificación de Clases</w:t>
            </w:r>
            <w:r w:rsidR="004C36AC">
              <w:rPr>
                <w:noProof/>
                <w:webHidden/>
              </w:rPr>
              <w:tab/>
            </w:r>
            <w:r w:rsidR="004C36AC">
              <w:rPr>
                <w:noProof/>
                <w:webHidden/>
              </w:rPr>
              <w:fldChar w:fldCharType="begin"/>
            </w:r>
            <w:r w:rsidR="004C36AC">
              <w:rPr>
                <w:noProof/>
                <w:webHidden/>
              </w:rPr>
              <w:instrText xml:space="preserve"> PAGEREF _Toc306990043 \h </w:instrText>
            </w:r>
            <w:r w:rsidR="004C36AC">
              <w:rPr>
                <w:noProof/>
                <w:webHidden/>
              </w:rPr>
            </w:r>
            <w:r w:rsidR="004C36AC">
              <w:rPr>
                <w:noProof/>
                <w:webHidden/>
              </w:rPr>
              <w:fldChar w:fldCharType="separate"/>
            </w:r>
            <w:r w:rsidR="004C36AC">
              <w:rPr>
                <w:noProof/>
                <w:webHidden/>
              </w:rPr>
              <w:t>3</w:t>
            </w:r>
            <w:r w:rsidR="004C36AC">
              <w:rPr>
                <w:noProof/>
                <w:webHidden/>
              </w:rPr>
              <w:fldChar w:fldCharType="end"/>
            </w:r>
          </w:hyperlink>
        </w:p>
        <w:p w:rsidR="004C36AC" w:rsidRDefault="00D055B4">
          <w:pPr>
            <w:pStyle w:val="TOC1"/>
            <w:tabs>
              <w:tab w:val="right" w:leader="dot" w:pos="9629"/>
            </w:tabs>
            <w:rPr>
              <w:noProof/>
              <w:lang w:eastAsia="es-AR"/>
            </w:rPr>
          </w:pPr>
          <w:hyperlink w:anchor="_Toc306990044" w:history="1">
            <w:r w:rsidR="004C36AC" w:rsidRPr="003D7677">
              <w:rPr>
                <w:rStyle w:val="Hyperlink"/>
                <w:noProof/>
              </w:rPr>
              <w:t>Diagramas de Clases</w:t>
            </w:r>
            <w:r w:rsidR="004C36AC">
              <w:rPr>
                <w:noProof/>
                <w:webHidden/>
              </w:rPr>
              <w:tab/>
            </w:r>
            <w:r w:rsidR="004C36AC">
              <w:rPr>
                <w:noProof/>
                <w:webHidden/>
              </w:rPr>
              <w:fldChar w:fldCharType="begin"/>
            </w:r>
            <w:r w:rsidR="004C36AC">
              <w:rPr>
                <w:noProof/>
                <w:webHidden/>
              </w:rPr>
              <w:instrText xml:space="preserve"> PAGEREF _Toc306990044 \h </w:instrText>
            </w:r>
            <w:r w:rsidR="004C36AC">
              <w:rPr>
                <w:noProof/>
                <w:webHidden/>
              </w:rPr>
            </w:r>
            <w:r w:rsidR="004C36AC">
              <w:rPr>
                <w:noProof/>
                <w:webHidden/>
              </w:rPr>
              <w:fldChar w:fldCharType="separate"/>
            </w:r>
            <w:r w:rsidR="004C36AC">
              <w:rPr>
                <w:noProof/>
                <w:webHidden/>
              </w:rPr>
              <w:t>7</w:t>
            </w:r>
            <w:r w:rsidR="004C36AC">
              <w:rPr>
                <w:noProof/>
                <w:webHidden/>
              </w:rPr>
              <w:fldChar w:fldCharType="end"/>
            </w:r>
          </w:hyperlink>
        </w:p>
        <w:p w:rsidR="004C36AC" w:rsidRDefault="00D055B4">
          <w:pPr>
            <w:pStyle w:val="TOC2"/>
            <w:tabs>
              <w:tab w:val="right" w:leader="dot" w:pos="9629"/>
            </w:tabs>
            <w:rPr>
              <w:noProof/>
              <w:lang w:eastAsia="es-AR"/>
            </w:rPr>
          </w:pPr>
          <w:hyperlink w:anchor="_Toc306990045" w:history="1">
            <w:r w:rsidR="004C36AC" w:rsidRPr="003D7677">
              <w:rPr>
                <w:rStyle w:val="Hyperlink"/>
                <w:noProof/>
              </w:rPr>
              <w:t>Árbol B+</w:t>
            </w:r>
            <w:r w:rsidR="004C36AC">
              <w:rPr>
                <w:noProof/>
                <w:webHidden/>
              </w:rPr>
              <w:tab/>
            </w:r>
            <w:r w:rsidR="004C36AC">
              <w:rPr>
                <w:noProof/>
                <w:webHidden/>
              </w:rPr>
              <w:fldChar w:fldCharType="begin"/>
            </w:r>
            <w:r w:rsidR="004C36AC">
              <w:rPr>
                <w:noProof/>
                <w:webHidden/>
              </w:rPr>
              <w:instrText xml:space="preserve"> PAGEREF _Toc306990045 \h </w:instrText>
            </w:r>
            <w:r w:rsidR="004C36AC">
              <w:rPr>
                <w:noProof/>
                <w:webHidden/>
              </w:rPr>
            </w:r>
            <w:r w:rsidR="004C36AC">
              <w:rPr>
                <w:noProof/>
                <w:webHidden/>
              </w:rPr>
              <w:fldChar w:fldCharType="separate"/>
            </w:r>
            <w:r w:rsidR="004C36AC">
              <w:rPr>
                <w:noProof/>
                <w:webHidden/>
              </w:rPr>
              <w:t>7</w:t>
            </w:r>
            <w:r w:rsidR="004C36AC">
              <w:rPr>
                <w:noProof/>
                <w:webHidden/>
              </w:rPr>
              <w:fldChar w:fldCharType="end"/>
            </w:r>
          </w:hyperlink>
        </w:p>
        <w:p w:rsidR="004C36AC" w:rsidRDefault="00D055B4">
          <w:pPr>
            <w:pStyle w:val="TOC2"/>
            <w:tabs>
              <w:tab w:val="right" w:leader="dot" w:pos="9629"/>
            </w:tabs>
            <w:rPr>
              <w:noProof/>
              <w:lang w:eastAsia="es-AR"/>
            </w:rPr>
          </w:pPr>
          <w:hyperlink w:anchor="_Toc306990046" w:history="1">
            <w:r w:rsidR="004C36AC" w:rsidRPr="003D7677">
              <w:rPr>
                <w:rStyle w:val="Hyperlink"/>
                <w:noProof/>
              </w:rPr>
              <w:t>Hash</w:t>
            </w:r>
            <w:r w:rsidR="004C36AC">
              <w:rPr>
                <w:noProof/>
                <w:webHidden/>
              </w:rPr>
              <w:tab/>
            </w:r>
            <w:r w:rsidR="004C36AC">
              <w:rPr>
                <w:noProof/>
                <w:webHidden/>
              </w:rPr>
              <w:fldChar w:fldCharType="begin"/>
            </w:r>
            <w:r w:rsidR="004C36AC">
              <w:rPr>
                <w:noProof/>
                <w:webHidden/>
              </w:rPr>
              <w:instrText xml:space="preserve"> PAGEREF _Toc306990046 \h </w:instrText>
            </w:r>
            <w:r w:rsidR="004C36AC">
              <w:rPr>
                <w:noProof/>
                <w:webHidden/>
              </w:rPr>
            </w:r>
            <w:r w:rsidR="004C36AC">
              <w:rPr>
                <w:noProof/>
                <w:webHidden/>
              </w:rPr>
              <w:fldChar w:fldCharType="separate"/>
            </w:r>
            <w:r w:rsidR="004C36AC">
              <w:rPr>
                <w:noProof/>
                <w:webHidden/>
              </w:rPr>
              <w:t>8</w:t>
            </w:r>
            <w:r w:rsidR="004C36AC">
              <w:rPr>
                <w:noProof/>
                <w:webHidden/>
              </w:rPr>
              <w:fldChar w:fldCharType="end"/>
            </w:r>
          </w:hyperlink>
        </w:p>
        <w:p w:rsidR="004C36AC" w:rsidRDefault="00D055B4">
          <w:pPr>
            <w:pStyle w:val="TOC2"/>
            <w:tabs>
              <w:tab w:val="right" w:leader="dot" w:pos="9629"/>
            </w:tabs>
            <w:rPr>
              <w:noProof/>
              <w:lang w:eastAsia="es-AR"/>
            </w:rPr>
          </w:pPr>
          <w:hyperlink w:anchor="_Toc306990047" w:history="1">
            <w:r w:rsidR="004C36AC" w:rsidRPr="003D7677">
              <w:rPr>
                <w:rStyle w:val="Hyperlink"/>
                <w:noProof/>
              </w:rPr>
              <w:t>Archivos de Bloques Variables</w:t>
            </w:r>
            <w:r w:rsidR="004C36AC">
              <w:rPr>
                <w:noProof/>
                <w:webHidden/>
              </w:rPr>
              <w:tab/>
            </w:r>
            <w:r w:rsidR="004C36AC">
              <w:rPr>
                <w:noProof/>
                <w:webHidden/>
              </w:rPr>
              <w:fldChar w:fldCharType="begin"/>
            </w:r>
            <w:r w:rsidR="004C36AC">
              <w:rPr>
                <w:noProof/>
                <w:webHidden/>
              </w:rPr>
              <w:instrText xml:space="preserve"> PAGEREF _Toc306990047 \h </w:instrText>
            </w:r>
            <w:r w:rsidR="004C36AC">
              <w:rPr>
                <w:noProof/>
                <w:webHidden/>
              </w:rPr>
            </w:r>
            <w:r w:rsidR="004C36AC">
              <w:rPr>
                <w:noProof/>
                <w:webHidden/>
              </w:rPr>
              <w:fldChar w:fldCharType="separate"/>
            </w:r>
            <w:r w:rsidR="004C36AC">
              <w:rPr>
                <w:noProof/>
                <w:webHidden/>
              </w:rPr>
              <w:t>8</w:t>
            </w:r>
            <w:r w:rsidR="004C36AC">
              <w:rPr>
                <w:noProof/>
                <w:webHidden/>
              </w:rPr>
              <w:fldChar w:fldCharType="end"/>
            </w:r>
          </w:hyperlink>
        </w:p>
        <w:p w:rsidR="004C36AC" w:rsidRDefault="00D055B4">
          <w:pPr>
            <w:pStyle w:val="TOC1"/>
            <w:tabs>
              <w:tab w:val="right" w:leader="dot" w:pos="9629"/>
            </w:tabs>
            <w:rPr>
              <w:noProof/>
              <w:lang w:eastAsia="es-AR"/>
            </w:rPr>
          </w:pPr>
          <w:hyperlink w:anchor="_Toc306990048" w:history="1">
            <w:r w:rsidR="004C36AC" w:rsidRPr="003D7677">
              <w:rPr>
                <w:rStyle w:val="Hyperlink"/>
                <w:noProof/>
              </w:rPr>
              <w:t>Diagramas de Secuencia</w:t>
            </w:r>
            <w:r w:rsidR="004C36AC">
              <w:rPr>
                <w:noProof/>
                <w:webHidden/>
              </w:rPr>
              <w:tab/>
            </w:r>
            <w:r w:rsidR="004C36AC">
              <w:rPr>
                <w:noProof/>
                <w:webHidden/>
              </w:rPr>
              <w:fldChar w:fldCharType="begin"/>
            </w:r>
            <w:r w:rsidR="004C36AC">
              <w:rPr>
                <w:noProof/>
                <w:webHidden/>
              </w:rPr>
              <w:instrText xml:space="preserve"> PAGEREF _Toc306990048 \h </w:instrText>
            </w:r>
            <w:r w:rsidR="004C36AC">
              <w:rPr>
                <w:noProof/>
                <w:webHidden/>
              </w:rPr>
            </w:r>
            <w:r w:rsidR="004C36AC">
              <w:rPr>
                <w:noProof/>
                <w:webHidden/>
              </w:rPr>
              <w:fldChar w:fldCharType="separate"/>
            </w:r>
            <w:r w:rsidR="004C36AC">
              <w:rPr>
                <w:noProof/>
                <w:webHidden/>
              </w:rPr>
              <w:t>9</w:t>
            </w:r>
            <w:r w:rsidR="004C36AC">
              <w:rPr>
                <w:noProof/>
                <w:webHidden/>
              </w:rPr>
              <w:fldChar w:fldCharType="end"/>
            </w:r>
          </w:hyperlink>
        </w:p>
        <w:p w:rsidR="004C36AC" w:rsidRDefault="00D055B4">
          <w:pPr>
            <w:pStyle w:val="TOC2"/>
            <w:tabs>
              <w:tab w:val="right" w:leader="dot" w:pos="9629"/>
            </w:tabs>
            <w:rPr>
              <w:noProof/>
              <w:lang w:eastAsia="es-AR"/>
            </w:rPr>
          </w:pPr>
          <w:hyperlink w:anchor="_Toc306990049" w:history="1">
            <w:r w:rsidR="004C36AC" w:rsidRPr="003D7677">
              <w:rPr>
                <w:rStyle w:val="Hyperlink"/>
                <w:noProof/>
              </w:rPr>
              <w:t>Reporte Elecciones por Distrito</w:t>
            </w:r>
            <w:r w:rsidR="004C36AC">
              <w:rPr>
                <w:noProof/>
                <w:webHidden/>
              </w:rPr>
              <w:tab/>
            </w:r>
            <w:r w:rsidR="004C36AC">
              <w:rPr>
                <w:noProof/>
                <w:webHidden/>
              </w:rPr>
              <w:fldChar w:fldCharType="begin"/>
            </w:r>
            <w:r w:rsidR="004C36AC">
              <w:rPr>
                <w:noProof/>
                <w:webHidden/>
              </w:rPr>
              <w:instrText xml:space="preserve"> PAGEREF _Toc306990049 \h </w:instrText>
            </w:r>
            <w:r w:rsidR="004C36AC">
              <w:rPr>
                <w:noProof/>
                <w:webHidden/>
              </w:rPr>
            </w:r>
            <w:r w:rsidR="004C36AC">
              <w:rPr>
                <w:noProof/>
                <w:webHidden/>
              </w:rPr>
              <w:fldChar w:fldCharType="separate"/>
            </w:r>
            <w:r w:rsidR="004C36AC">
              <w:rPr>
                <w:noProof/>
                <w:webHidden/>
              </w:rPr>
              <w:t>9</w:t>
            </w:r>
            <w:r w:rsidR="004C36AC">
              <w:rPr>
                <w:noProof/>
                <w:webHidden/>
              </w:rPr>
              <w:fldChar w:fldCharType="end"/>
            </w:r>
          </w:hyperlink>
        </w:p>
        <w:p w:rsidR="004C36AC" w:rsidRDefault="00D055B4">
          <w:pPr>
            <w:pStyle w:val="TOC2"/>
            <w:tabs>
              <w:tab w:val="right" w:leader="dot" w:pos="9629"/>
            </w:tabs>
            <w:rPr>
              <w:noProof/>
              <w:lang w:eastAsia="es-AR"/>
            </w:rPr>
          </w:pPr>
          <w:hyperlink w:anchor="_Toc306990050" w:history="1">
            <w:r w:rsidR="004C36AC" w:rsidRPr="003D7677">
              <w:rPr>
                <w:rStyle w:val="Hyperlink"/>
                <w:noProof/>
              </w:rPr>
              <w:t>Generación Votos Aleatorios</w:t>
            </w:r>
            <w:r w:rsidR="004C36AC">
              <w:rPr>
                <w:noProof/>
                <w:webHidden/>
              </w:rPr>
              <w:tab/>
            </w:r>
            <w:r w:rsidR="004C36AC">
              <w:rPr>
                <w:noProof/>
                <w:webHidden/>
              </w:rPr>
              <w:fldChar w:fldCharType="begin"/>
            </w:r>
            <w:r w:rsidR="004C36AC">
              <w:rPr>
                <w:noProof/>
                <w:webHidden/>
              </w:rPr>
              <w:instrText xml:space="preserve"> PAGEREF _Toc306990050 \h </w:instrText>
            </w:r>
            <w:r w:rsidR="004C36AC">
              <w:rPr>
                <w:noProof/>
                <w:webHidden/>
              </w:rPr>
            </w:r>
            <w:r w:rsidR="004C36AC">
              <w:rPr>
                <w:noProof/>
                <w:webHidden/>
              </w:rPr>
              <w:fldChar w:fldCharType="separate"/>
            </w:r>
            <w:r w:rsidR="004C36AC">
              <w:rPr>
                <w:noProof/>
                <w:webHidden/>
              </w:rPr>
              <w:t>10</w:t>
            </w:r>
            <w:r w:rsidR="004C36AC">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Heading1"/>
      </w:pPr>
      <w:bookmarkStart w:id="0" w:name="_Toc306990043"/>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yperlink"/>
            <w:b/>
          </w:rPr>
          <w:t>Diagrama de Clases</w:t>
        </w:r>
      </w:hyperlink>
    </w:p>
    <w:tbl>
      <w:tblPr>
        <w:tblStyle w:val="TableGrid"/>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yperlink"/>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yperlink"/>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yperlink"/>
            <w:b/>
          </w:rPr>
          <w:t>Diagrama de Clases</w:t>
        </w:r>
      </w:hyperlink>
    </w:p>
    <w:tbl>
      <w:tblPr>
        <w:tblStyle w:val="TableGrid"/>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yperlink"/>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yperlink"/>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yperlink"/>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yperlink"/>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yperlink"/>
          <w:b/>
        </w:rPr>
      </w:pPr>
      <w:r>
        <w:rPr>
          <w:b/>
        </w:rPr>
        <w:t xml:space="preserve">Ver </w:t>
      </w:r>
      <w:hyperlink w:anchor="_Archivos_de_Bloques" w:history="1">
        <w:r w:rsidRPr="00F07963">
          <w:rPr>
            <w:rStyle w:val="Hyperlink"/>
            <w:b/>
          </w:rPr>
          <w:t>Diagrama de Clases</w:t>
        </w:r>
      </w:hyperlink>
    </w:p>
    <w:p w:rsidR="005839B8" w:rsidRDefault="005839B8" w:rsidP="005839B8">
      <w:pPr>
        <w:jc w:val="right"/>
        <w:rPr>
          <w:rStyle w:val="Hyperlink"/>
          <w:b/>
        </w:rPr>
      </w:pPr>
    </w:p>
    <w:p w:rsidR="005839B8" w:rsidRDefault="005839B8" w:rsidP="005839B8">
      <w:pPr>
        <w:jc w:val="right"/>
        <w:rPr>
          <w:rStyle w:val="Hyperlink"/>
          <w:b/>
        </w:rPr>
      </w:pPr>
    </w:p>
    <w:p w:rsidR="005839B8" w:rsidRDefault="005839B8" w:rsidP="005839B8">
      <w:pPr>
        <w:jc w:val="right"/>
        <w:rPr>
          <w:b/>
        </w:rPr>
      </w:pP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1" w:name="BaseVariableBlock"/>
            <w:proofErr w:type="spellStart"/>
            <w:r>
              <w:rPr>
                <w:b/>
              </w:rPr>
              <w:t>BaseVariableBlock</w:t>
            </w:r>
            <w:bookmarkEnd w:id="1"/>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yperlink"/>
                </w:rPr>
                <w:t>Template</w:t>
              </w:r>
              <w:proofErr w:type="spellEnd"/>
              <w:r w:rsidR="000F5F56" w:rsidRPr="009B32E0">
                <w:rPr>
                  <w:rStyle w:val="Hyperlink"/>
                </w:rPr>
                <w:t xml:space="preserve"> </w:t>
              </w:r>
              <w:proofErr w:type="spellStart"/>
              <w:r w:rsidR="000F5F56" w:rsidRPr="009B32E0">
                <w:rPr>
                  <w:rStyle w:val="Hyperlink"/>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2" w:name="BaseVariableBlockFile"/>
            <w:proofErr w:type="spellStart"/>
            <w:r>
              <w:rPr>
                <w:b/>
              </w:rPr>
              <w:t>BaseVariableBlockFile</w:t>
            </w:r>
            <w:bookmarkEnd w:id="2"/>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3" w:name="RecordMethods"/>
            <w:proofErr w:type="spellStart"/>
            <w:r>
              <w:rPr>
                <w:b/>
              </w:rPr>
              <w:t>RecordMethods</w:t>
            </w:r>
            <w:bookmarkEnd w:id="3"/>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yperlink"/>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yperlink"/>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Heading1"/>
      </w:pPr>
      <w:bookmarkStart w:id="4" w:name="_Toc306990044"/>
      <w:r>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5" w:name="_Arbol_B+"/>
      <w:bookmarkStart w:id="6" w:name="_Toc306990045"/>
      <w:bookmarkEnd w:id="5"/>
      <w:r>
        <w:t>Árbol</w:t>
      </w:r>
      <w:r w:rsidR="002F5FFB">
        <w:t xml:space="preserve"> B+</w:t>
      </w:r>
      <w:bookmarkEnd w:id="6"/>
    </w:p>
    <w:p w:rsidR="002F5FFB" w:rsidRDefault="00465A19" w:rsidP="002F5FFB">
      <w:r>
        <w:rPr>
          <w:noProof/>
          <w:lang w:eastAsia="es-AR"/>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Heading2"/>
      </w:pPr>
      <w:bookmarkStart w:id="7" w:name="_Hash"/>
      <w:bookmarkStart w:id="8" w:name="_Toc306990046"/>
      <w:bookmarkEnd w:id="7"/>
      <w:r>
        <w:lastRenderedPageBreak/>
        <w:t>Hash</w:t>
      </w:r>
      <w:bookmarkEnd w:id="8"/>
    </w:p>
    <w:p w:rsidR="00C91F74" w:rsidRDefault="00C91F74" w:rsidP="002F5FFB">
      <w:r>
        <w:rPr>
          <w:noProof/>
          <w:lang w:eastAsia="es-AR"/>
        </w:rPr>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9" w:name="_Archivos_de_Bloques"/>
      <w:bookmarkStart w:id="10" w:name="_Toc306990047"/>
      <w:bookmarkEnd w:id="9"/>
      <w:r>
        <w:t>Archivos de Bloques Variables</w:t>
      </w:r>
      <w:bookmarkEnd w:id="10"/>
    </w:p>
    <w:p w:rsidR="00884DC6" w:rsidRDefault="00884DC6" w:rsidP="00884DC6">
      <w:r>
        <w:rPr>
          <w:noProof/>
          <w:lang w:eastAsia="es-AR"/>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063857" w:rsidRDefault="00063857" w:rsidP="00063857">
      <w:pPr>
        <w:pStyle w:val="Heading1"/>
      </w:pPr>
      <w:bookmarkStart w:id="11" w:name="_Toc306990048"/>
      <w:r>
        <w:t>Diagramas de Secuencia</w:t>
      </w:r>
      <w:bookmarkEnd w:id="11"/>
    </w:p>
    <w:p w:rsidR="00063857" w:rsidRDefault="00063857" w:rsidP="00063857">
      <w:r>
        <w:t>En esta sección se presentan algunos diagramas de secuencia que detallan como se implementaron las siguientes funcionalidades:</w:t>
      </w:r>
    </w:p>
    <w:p w:rsidR="00063857" w:rsidRDefault="00D10717" w:rsidP="00063857">
      <w:pPr>
        <w:pStyle w:val="ListParagraph"/>
        <w:numPr>
          <w:ilvl w:val="0"/>
          <w:numId w:val="18"/>
        </w:numPr>
      </w:pPr>
      <w:r>
        <w:t>Reporte Elecciones por Distrito</w:t>
      </w:r>
    </w:p>
    <w:p w:rsidR="00D10717" w:rsidRDefault="00D10717" w:rsidP="00063857">
      <w:pPr>
        <w:pStyle w:val="ListParagraph"/>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Heading2"/>
      </w:pPr>
      <w:bookmarkStart w:id="12" w:name="_Toc306990049"/>
      <w:r>
        <w:t>Reporte Elecciones por Distrito</w:t>
      </w:r>
      <w:bookmarkEnd w:id="12"/>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Heading2"/>
      </w:pPr>
      <w:bookmarkStart w:id="13" w:name="_Toc306990050"/>
      <w:r>
        <w:lastRenderedPageBreak/>
        <w:t>Generación Votos Aleatorios</w:t>
      </w:r>
      <w:bookmarkEnd w:id="13"/>
    </w:p>
    <w:p w:rsidR="009E34D3" w:rsidRP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7">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bookmarkStart w:id="14" w:name="_GoBack"/>
      <w:bookmarkEnd w:id="14"/>
    </w:p>
    <w:sectPr w:rsidR="009E34D3" w:rsidRPr="009E34D3"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A23FB"/>
    <w:rsid w:val="003B24DF"/>
    <w:rsid w:val="003B3376"/>
    <w:rsid w:val="003B606D"/>
    <w:rsid w:val="003C0107"/>
    <w:rsid w:val="003F3EBE"/>
    <w:rsid w:val="00437041"/>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A3712"/>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15232"/>
    <w:rsid w:val="00B22276"/>
    <w:rsid w:val="00B2526F"/>
    <w:rsid w:val="00B26C19"/>
    <w:rsid w:val="00B4123B"/>
    <w:rsid w:val="00B4628B"/>
    <w:rsid w:val="00B54402"/>
    <w:rsid w:val="00B8054D"/>
    <w:rsid w:val="00B82E67"/>
    <w:rsid w:val="00B8480D"/>
    <w:rsid w:val="00B8520C"/>
    <w:rsid w:val="00B94C10"/>
    <w:rsid w:val="00BA0AA1"/>
    <w:rsid w:val="00BA44F2"/>
    <w:rsid w:val="00BA5509"/>
    <w:rsid w:val="00BA6F1F"/>
    <w:rsid w:val="00BC1A0A"/>
    <w:rsid w:val="00BF72C2"/>
    <w:rsid w:val="00C27075"/>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55B4"/>
    <w:rsid w:val="00D06A29"/>
    <w:rsid w:val="00D07664"/>
    <w:rsid w:val="00D10717"/>
    <w:rsid w:val="00D16EB0"/>
    <w:rsid w:val="00D7252D"/>
    <w:rsid w:val="00D846E6"/>
    <w:rsid w:val="00DB06E9"/>
    <w:rsid w:val="00DC46D8"/>
    <w:rsid w:val="00DD1EFA"/>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2434179D-02F1-4C45-B87F-5A2C0F0A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10</Pages>
  <Words>2741</Words>
  <Characters>15077</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17783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246</cp:revision>
  <cp:lastPrinted>2011-09-24T05:16:00Z</cp:lastPrinted>
  <dcterms:created xsi:type="dcterms:W3CDTF">2011-09-24T00:18:00Z</dcterms:created>
  <dcterms:modified xsi:type="dcterms:W3CDTF">2011-10-21T23:20:00Z</dcterms:modified>
</cp:coreProperties>
</file>