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4F2A65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680131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680132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>Nicolás Pablo Fernández Theillet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4F2A65">
        <w:rPr>
          <w:rFonts w:ascii="Tahoma" w:eastAsia="MS Mincho" w:hAnsi="Tahoma" w:cs="Tahoma"/>
          <w:sz w:val="28"/>
          <w:szCs w:val="28"/>
        </w:rPr>
        <w:t>2011-11-25</w:t>
      </w:r>
      <w:bookmarkStart w:id="0" w:name="_GoBack"/>
      <w:bookmarkEnd w:id="0"/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Gonzalez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bookmarkStart w:id="1" w:name="_Toc309755148"/>
      <w:r w:rsidRPr="008B5E26">
        <w:t>Longitud máxima c</w:t>
      </w:r>
      <w:r w:rsidR="00110B32">
        <w:t>laves</w:t>
      </w:r>
      <w:bookmarkEnd w:id="1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r w:rsidRPr="001D5FC4">
        <w:rPr>
          <w:b/>
        </w:rPr>
        <w:t>long long</w:t>
      </w:r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bookmarkStart w:id="2" w:name="_Toc309755149"/>
      <w:r w:rsidRPr="00F625D9">
        <w:t>Configuración Tamaño Claves</w:t>
      </w:r>
      <w:bookmarkEnd w:id="2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CE37BD" w:rsidRDefault="004F2A65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p w:rsidR="00CE37BD" w:rsidRDefault="00CE37BD" w:rsidP="00CE37BD">
      <w:pPr>
        <w:pStyle w:val="Heading2"/>
      </w:pPr>
      <w:bookmarkStart w:id="3" w:name="_Toc309755150"/>
      <w:r>
        <w:t>Encriptación</w:t>
      </w:r>
      <w:bookmarkEnd w:id="3"/>
    </w:p>
    <w:p w:rsidR="00CE37BD" w:rsidRDefault="00CE37BD" w:rsidP="00CE37BD">
      <w:r>
        <w:t>Al momento de encriptar se siguen los siguientes pasos.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Define el tamaño del </w:t>
      </w:r>
      <w:r>
        <w:rPr>
          <w:i/>
        </w:rPr>
        <w:t>chunk (chunksize)</w:t>
      </w:r>
      <w:r>
        <w:t xml:space="preserve"> como </w:t>
      </w:r>
      <w:r w:rsidRPr="0069607C">
        <w:rPr>
          <w:i/>
        </w:rPr>
        <w:t>floor(b / 8)</w:t>
      </w:r>
      <w:r w:rsidRPr="0069607C">
        <w:t>.</w:t>
      </w:r>
    </w:p>
    <w:p w:rsidR="0069607C" w:rsidRPr="00CE37BD" w:rsidRDefault="0069607C" w:rsidP="00CE37BD">
      <w:pPr>
        <w:pStyle w:val="ListParagraph"/>
        <w:numPr>
          <w:ilvl w:val="0"/>
          <w:numId w:val="30"/>
        </w:numPr>
      </w:pPr>
      <w:r>
        <w:t xml:space="preserve">Divide el mensaje a encriptar en </w:t>
      </w:r>
      <w:r w:rsidRPr="0069607C">
        <w:rPr>
          <w:i/>
        </w:rPr>
        <w:t>chunks</w:t>
      </w:r>
      <w:r>
        <w:t xml:space="preserve"> y encripta cada uno por separado, agregandolo  al criptograma final.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ListParagraph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r w:rsidRPr="0069607C">
              <w:rPr>
                <w:i/>
              </w:rPr>
              <w:t>chunk</w:t>
            </w:r>
            <w:r>
              <w:rPr>
                <w:i/>
              </w:rPr>
              <w:t xml:space="preserve">size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t>Al momento de des-encriptar</w:t>
      </w:r>
      <w:r w:rsidR="005C3E0D">
        <w:t xml:space="preserve">, se recibe como parámetro la longitud del criptograma (no del mensaje original) y se revierte el proceso original, es decir se toma </w:t>
      </w:r>
      <w:r w:rsidR="005C3E0D">
        <w:rPr>
          <w:i/>
        </w:rPr>
        <w:t xml:space="preserve">chunksize </w:t>
      </w:r>
      <w:r w:rsidR="005C3E0D">
        <w:t>+ 1 para desencriptar.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0"/>
  </w:num>
  <w:num w:numId="12">
    <w:abstractNumId w:val="29"/>
  </w:num>
  <w:num w:numId="13">
    <w:abstractNumId w:val="3"/>
  </w:num>
  <w:num w:numId="14">
    <w:abstractNumId w:val="7"/>
  </w:num>
  <w:num w:numId="15">
    <w:abstractNumId w:val="27"/>
  </w:num>
  <w:num w:numId="16">
    <w:abstractNumId w:val="13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28"/>
  </w:num>
  <w:num w:numId="22">
    <w:abstractNumId w:val="8"/>
  </w:num>
  <w:num w:numId="23">
    <w:abstractNumId w:val="26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2A65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13640-E4D5-4DEE-9386-EB5A8D82B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A1F671-2286-4D1A-8479-77FB8DB3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116</cp:revision>
  <cp:lastPrinted>2011-11-25T01:44:00Z</cp:lastPrinted>
  <dcterms:created xsi:type="dcterms:W3CDTF">2011-09-24T00:18:00Z</dcterms:created>
  <dcterms:modified xsi:type="dcterms:W3CDTF">2011-11-25T01:49:00Z</dcterms:modified>
</cp:coreProperties>
</file>