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D00BF8"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580084"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580085"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proofErr w:type="spellStart"/>
            <w:r>
              <w:rPr>
                <w:bCs/>
                <w:sz w:val="32"/>
                <w:szCs w:val="32"/>
              </w:rPr>
              <w:t>Ostrowsky</w:t>
            </w:r>
            <w:proofErr w:type="spellEnd"/>
            <w:r>
              <w:rPr>
                <w:bCs/>
                <w:sz w:val="32"/>
                <w:szCs w:val="32"/>
              </w:rPr>
              <w:t>,</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proofErr w:type="spellStart"/>
            <w:r>
              <w:rPr>
                <w:bCs/>
                <w:sz w:val="32"/>
                <w:szCs w:val="32"/>
              </w:rPr>
              <w:t>Schenkelman</w:t>
            </w:r>
            <w:proofErr w:type="spellEnd"/>
            <w:r>
              <w:rPr>
                <w:bCs/>
                <w:sz w:val="32"/>
                <w:szCs w:val="32"/>
              </w:rPr>
              <w:t>,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tulodeTDC"/>
      </w:pPr>
    </w:p>
    <w:p w:rsidR="00A760AE" w:rsidRDefault="00AE12BF" w:rsidP="00AE12BF">
      <w:pPr>
        <w:pStyle w:val="Ttulo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proofErr w:type="spellStart"/>
            <w:r w:rsidRPr="00C8690C">
              <w:rPr>
                <w:b/>
              </w:rPr>
              <w:t>FreeBlockManager</w:t>
            </w:r>
            <w:proofErr w:type="spellEnd"/>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proofErr w:type="spellStart"/>
            <w:r w:rsidRPr="00C8690C">
              <w:rPr>
                <w:b/>
              </w:rPr>
              <w:t>IndexTreeBlock</w:t>
            </w:r>
            <w:proofErr w:type="spellEnd"/>
          </w:p>
        </w:tc>
        <w:tc>
          <w:tcPr>
            <w:tcW w:w="8537"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proofErr w:type="spellStart"/>
            <w:r w:rsidRPr="00C8690C">
              <w:rPr>
                <w:b/>
              </w:rPr>
              <w:t>InternalNode</w:t>
            </w:r>
            <w:proofErr w:type="spellEnd"/>
          </w:p>
        </w:tc>
        <w:tc>
          <w:tcPr>
            <w:tcW w:w="8537"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proofErr w:type="spellStart"/>
            <w:r w:rsidRPr="00C8690C">
              <w:rPr>
                <w:b/>
              </w:rPr>
              <w:t>LeafNode</w:t>
            </w:r>
            <w:proofErr w:type="spellEnd"/>
          </w:p>
        </w:tc>
        <w:tc>
          <w:tcPr>
            <w:tcW w:w="8537"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proofErr w:type="spellStart"/>
            <w:r w:rsidRPr="00C8690C">
              <w:rPr>
                <w:b/>
              </w:rPr>
              <w:t>Node</w:t>
            </w:r>
            <w:proofErr w:type="spellEnd"/>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proofErr w:type="spellStart"/>
            <w:r w:rsidRPr="00C8690C">
              <w:rPr>
                <w:b/>
              </w:rPr>
              <w:t>OverflowParameter</w:t>
            </w:r>
            <w:proofErr w:type="spellEnd"/>
          </w:p>
        </w:tc>
        <w:tc>
          <w:tcPr>
            <w:tcW w:w="8537"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C8690C">
        <w:tc>
          <w:tcPr>
            <w:tcW w:w="1242" w:type="dxa"/>
            <w:vAlign w:val="center"/>
          </w:tcPr>
          <w:p w:rsidR="00955345" w:rsidRPr="00C8690C" w:rsidRDefault="00955345" w:rsidP="00C8690C">
            <w:pPr>
              <w:rPr>
                <w:b/>
              </w:rPr>
            </w:pPr>
            <w:proofErr w:type="spellStart"/>
            <w:r w:rsidRPr="00C8690C">
              <w:rPr>
                <w:b/>
              </w:rPr>
              <w:t>SequenceTreeBlock</w:t>
            </w:r>
            <w:proofErr w:type="spellEnd"/>
          </w:p>
        </w:tc>
        <w:tc>
          <w:tcPr>
            <w:tcW w:w="8537"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proofErr w:type="spellStart"/>
            <w:r w:rsidRPr="00C8690C">
              <w:rPr>
                <w:b/>
              </w:rPr>
              <w:t>Tree</w:t>
            </w:r>
            <w:proofErr w:type="spellEnd"/>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proofErr w:type="spellStart"/>
            <w:r w:rsidRPr="00C8690C">
              <w:rPr>
                <w:b/>
              </w:rPr>
              <w:t>TreeBlock</w:t>
            </w:r>
            <w:proofErr w:type="spellEnd"/>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proofErr w:type="spellStart"/>
            <w:r w:rsidRPr="00C8690C">
              <w:rPr>
                <w:b/>
              </w:rPr>
              <w:t>TreeBlockFile</w:t>
            </w:r>
            <w:proofErr w:type="spellEnd"/>
          </w:p>
        </w:tc>
        <w:tc>
          <w:tcPr>
            <w:tcW w:w="8537" w:type="dxa"/>
          </w:tcPr>
          <w:p w:rsidR="00955345" w:rsidRDefault="003C0107" w:rsidP="00610404">
            <w:r>
              <w:t xml:space="preserve">Hereda de </w:t>
            </w:r>
            <w:proofErr w:type="spellStart"/>
            <w:r w:rsidRPr="003C0107">
              <w:t>BaseVariableBlockFile</w:t>
            </w:r>
            <w:proofErr w:type="spellEnd"/>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47F97" w:rsidRDefault="00F07963" w:rsidP="00F07963">
      <w:pPr>
        <w:jc w:val="right"/>
        <w:rPr>
          <w:b/>
        </w:rPr>
      </w:pPr>
      <w:r>
        <w:rPr>
          <w:b/>
        </w:rPr>
        <w:t xml:space="preserve">Ver </w:t>
      </w:r>
      <w:hyperlink w:anchor="_Arbol_B+" w:history="1">
        <w:r w:rsidRPr="00F07963">
          <w:rPr>
            <w:rStyle w:val="Hipervnculo"/>
            <w:b/>
          </w:rPr>
          <w:t>Diagrama de Clases</w:t>
        </w:r>
      </w:hyperlink>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 xml:space="preserve">étodos </w:t>
            </w:r>
            <w:r>
              <w:lastRenderedPageBreak/>
              <w:t>para obtener</w:t>
            </w:r>
            <w:r w:rsidR="00D03DC2">
              <w:t>/asignar</w:t>
            </w:r>
            <w:r>
              <w:t xml:space="preserve"> los bytes. Estos métodos </w:t>
            </w:r>
            <w:r w:rsidR="00D03DC2">
              <w:t>son usados para facilitar la 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proofErr w:type="spellStart"/>
            <w:r w:rsidRPr="00D03DC2">
              <w:t>RecordMethods</w:t>
            </w:r>
            <w:proofErr w:type="spellEnd"/>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proofErr w:type="spellStart"/>
            <w:r w:rsidRPr="00D03DC2">
              <w:t>RecordMethods</w:t>
            </w:r>
            <w:proofErr w:type="spellEnd"/>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proofErr w:type="spellStart"/>
            <w:r w:rsidRPr="00D03DC2">
              <w:t>RecordMethods</w:t>
            </w:r>
            <w:proofErr w:type="spellEnd"/>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proofErr w:type="spellStart"/>
            <w:r w:rsidRPr="00D03DC2">
              <w:t>RecordMethods</w:t>
            </w:r>
            <w:proofErr w:type="spellEnd"/>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tbl>
      <w:tblPr>
        <w:tblStyle w:val="Tablaconcuadrcula"/>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proofErr w:type="spellStart"/>
            <w:r>
              <w:t>BaseVariableBlock</w:t>
            </w:r>
            <w:proofErr w:type="spellEnd"/>
            <w:r>
              <w:t>. Representa un bloque del Hash. Implementa los métodos para consultas, altas, bajas y modificaciones. También mantiene cuenta del espacio libre, y guarda un apuntador al bloque del archivo de 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D846E6" w:rsidP="00D846E6">
            <w:r>
              <w:t>Agrupa la funcionalidad del Has</w:t>
            </w:r>
            <w:r w:rsidR="00C91F74">
              <w:t>h</w:t>
            </w:r>
            <w:r>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F52321" w:rsidRDefault="00C91F74" w:rsidP="00C91F74">
      <w:pPr>
        <w:jc w:val="right"/>
        <w:rPr>
          <w:b/>
        </w:rPr>
      </w:pPr>
      <w:r>
        <w:rPr>
          <w:b/>
        </w:rPr>
        <w:t xml:space="preserve">Ver </w:t>
      </w:r>
      <w:hyperlink w:anchor="_Hash" w:history="1">
        <w:r w:rsidRPr="00F07963">
          <w:rPr>
            <w:rStyle w:val="Hipervnculo"/>
            <w:b/>
          </w:rPr>
          <w:t>Diagrama de Clases</w:t>
        </w:r>
      </w:hyperlink>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proofErr w:type="spellStart"/>
            <w:r>
              <w:t>RecordMethods</w:t>
            </w:r>
            <w:proofErr w:type="spellEnd"/>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proofErr w:type="spellStart"/>
            <w:r>
              <w:t>RecordMethods</w:t>
            </w:r>
            <w:proofErr w:type="spellEnd"/>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aconcuadrcula"/>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proofErr w:type="spellStart"/>
            <w:r>
              <w:rPr>
                <w:b/>
              </w:rPr>
              <w:t>BaseVariableBlock</w:t>
            </w:r>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w:t>
            </w:r>
            <w:r>
              <w:lastRenderedPageBreak/>
              <w:t xml:space="preserve">operaciones comunes a todos los bloques, en algunos casos en forma total </w:t>
            </w:r>
            <w:r w:rsidR="000F5F56">
              <w:t xml:space="preserve">y en otros como </w:t>
            </w:r>
            <w:proofErr w:type="spellStart"/>
            <w:r w:rsidR="000F5F56">
              <w:t>Template</w:t>
            </w:r>
            <w:proofErr w:type="spellEnd"/>
            <w:r w:rsidR="000F5F56">
              <w:t xml:space="preserve"> </w:t>
            </w:r>
            <w:proofErr w:type="spellStart"/>
            <w:r w:rsidR="000F5F56">
              <w:t>Method</w:t>
            </w:r>
            <w:proofErr w:type="spellEnd"/>
            <w:r w:rsidR="000F5F56">
              <w:t>.</w:t>
            </w:r>
          </w:p>
        </w:tc>
      </w:tr>
      <w:tr w:rsidR="009F7C4A" w:rsidTr="00DD31D3">
        <w:tc>
          <w:tcPr>
            <w:tcW w:w="2514" w:type="dxa"/>
            <w:vAlign w:val="center"/>
          </w:tcPr>
          <w:p w:rsidR="009F7C4A" w:rsidRPr="00C8690C" w:rsidRDefault="00517CD0" w:rsidP="00DD31D3">
            <w:pPr>
              <w:rPr>
                <w:b/>
              </w:rPr>
            </w:pPr>
            <w:proofErr w:type="spellStart"/>
            <w:r>
              <w:rPr>
                <w:b/>
              </w:rPr>
              <w:lastRenderedPageBreak/>
              <w:t>BaseVariableBlockFile</w:t>
            </w:r>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proofErr w:type="spellStart"/>
            <w:r>
              <w:rPr>
                <w:b/>
              </w:rPr>
              <w:t>RecordMethods</w:t>
            </w:r>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proofErr w:type="spellStart"/>
            <w:r>
              <w:t>BaseVariableBlock</w:t>
            </w:r>
            <w:proofErr w:type="spellEnd"/>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proofErr w:type="spellStart"/>
            <w:r>
              <w:t>BaseVariableBlockFile</w:t>
            </w:r>
            <w:proofErr w:type="spellEnd"/>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 xml:space="preserve">Maneja el flujo de voto. Es utilizada para la carga inicial de datos, ya que hace </w:t>
            </w:r>
            <w:r>
              <w:lastRenderedPageBreak/>
              <w:t>votar a todos los electores en todas las elecciones disponibles para ellos.</w:t>
            </w:r>
          </w:p>
        </w:tc>
      </w:tr>
    </w:tbl>
    <w:p w:rsidR="003377B7" w:rsidRDefault="003377B7" w:rsidP="00AE12BF"/>
    <w:p w:rsidR="002F5FFB" w:rsidRDefault="002F5FFB" w:rsidP="002F5FFB">
      <w:pPr>
        <w:pStyle w:val="Ttulo1"/>
      </w:pPr>
      <w:r>
        <w:t>Diagramas de Clases</w:t>
      </w:r>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2F5FFB" w:rsidP="002F5FFB">
      <w:pPr>
        <w:pStyle w:val="Ttulo2"/>
      </w:pPr>
      <w:bookmarkStart w:id="0" w:name="_Arbol_B+"/>
      <w:bookmarkEnd w:id="0"/>
      <w:proofErr w:type="spellStart"/>
      <w:r>
        <w:t>Arbol</w:t>
      </w:r>
      <w:proofErr w:type="spellEnd"/>
      <w:r>
        <w:t xml:space="preserve"> B+</w:t>
      </w:r>
    </w:p>
    <w:p w:rsidR="002F5FFB" w:rsidRDefault="00465A19" w:rsidP="002F5FFB">
      <w:r>
        <w:rPr>
          <w:noProof/>
          <w:lang w:eastAsia="es-AR"/>
        </w:rPr>
        <w:drawing>
          <wp:inline distT="0" distB="0" distL="0" distR="0" wp14:anchorId="09131411" wp14:editId="3BF57C89">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t>Tree</w:t>
      </w:r>
      <w:proofErr w:type="spellEnd"/>
      <w:r>
        <w:t xml:space="preserve">) está asociada a la clase abstracta </w:t>
      </w:r>
      <w:proofErr w:type="spellStart"/>
      <w:r>
        <w:t>Node</w:t>
      </w:r>
      <w:proofErr w:type="spellEnd"/>
      <w:r>
        <w:t xml:space="preserve">, mediante la  cual ejecuta sus operaciones absteniéndose de si se trata de un nodo interno (clase </w:t>
      </w:r>
      <w:proofErr w:type="spellStart"/>
      <w:r>
        <w:t>InternalNode</w:t>
      </w:r>
      <w:proofErr w:type="spellEnd"/>
      <w:r>
        <w:t xml:space="preserve">) o un nodo hoja (clase </w:t>
      </w:r>
      <w:proofErr w:type="spellStart"/>
      <w:r>
        <w:t>LeafNode</w:t>
      </w:r>
      <w:proofErr w:type="spellEnd"/>
      <w:r>
        <w:t xml:space="preserve">). Por otro lado, la clase </w:t>
      </w:r>
      <w:proofErr w:type="spellStart"/>
      <w:r>
        <w:t>Tree</w:t>
      </w:r>
      <w:proofErr w:type="spellEnd"/>
      <w:r>
        <w:t xml:space="preserve"> se asocia también con la clase </w:t>
      </w:r>
      <w:proofErr w:type="spellStart"/>
      <w:r>
        <w:t>TreeBlockFile</w:t>
      </w:r>
      <w:proofErr w:type="spellEnd"/>
      <w:r>
        <w:t xml:space="preserve">, que es la encargada de </w:t>
      </w:r>
      <w:r w:rsidR="0078174A">
        <w:t>la carga y descarga de bloques en el archivo. Esta asociación permite al árbol acceder a distintos bloques dentro del archivo.</w:t>
      </w:r>
    </w:p>
    <w:p w:rsidR="0078174A" w:rsidRDefault="0078174A" w:rsidP="002F5FFB">
      <w:r>
        <w:t xml:space="preserve">Por otro lado, la clase </w:t>
      </w:r>
      <w:proofErr w:type="spellStart"/>
      <w:r>
        <w:t>TreeBlockFile</w:t>
      </w:r>
      <w:proofErr w:type="spellEnd"/>
      <w:r>
        <w:t xml:space="preserve"> posee a la clase </w:t>
      </w:r>
      <w:proofErr w:type="spellStart"/>
      <w:r>
        <w:t>FreeBlockManager</w:t>
      </w:r>
      <w:proofErr w:type="spellEnd"/>
      <w:r>
        <w:t xml:space="preserve"> para manejar los bloques libres dentro del archivo y está asociada a la clase abstracta </w:t>
      </w:r>
      <w:proofErr w:type="spellStart"/>
      <w: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t>TreeBlock</w:t>
      </w:r>
      <w:proofErr w:type="spellEnd"/>
      <w:r w:rsidR="00F903D9">
        <w:t xml:space="preserve"> que son implementados por </w:t>
      </w:r>
      <w:proofErr w:type="spellStart"/>
      <w:r w:rsidR="00F903D9">
        <w:t>SequenceTreeBlock</w:t>
      </w:r>
      <w:proofErr w:type="spellEnd"/>
      <w:r w:rsidR="00F903D9">
        <w:t xml:space="preserve"> e </w:t>
      </w:r>
      <w:proofErr w:type="spellStart"/>
      <w:r w:rsidR="00F903D9">
        <w:t>IndexTreeBlock</w:t>
      </w:r>
      <w:proofErr w:type="spellEnd"/>
      <w:r w:rsidR="00F903D9">
        <w:t xml:space="preserve"> según la necesidad.</w:t>
      </w:r>
    </w:p>
    <w:p w:rsidR="00D00BF8" w:rsidRPr="00D00BF8" w:rsidRDefault="00D00BF8" w:rsidP="002F5FFB">
      <w:pPr>
        <w:rPr>
          <w:u w:val="single"/>
        </w:rPr>
      </w:pPr>
      <w:bookmarkStart w:id="1" w:name="_GoBack"/>
      <w:bookmarkEnd w:id="1"/>
    </w:p>
    <w:p w:rsidR="00C91F74" w:rsidRDefault="00C91F74" w:rsidP="00C91F74">
      <w:pPr>
        <w:pStyle w:val="Ttulo2"/>
      </w:pPr>
      <w:bookmarkStart w:id="2" w:name="_Hash"/>
      <w:bookmarkEnd w:id="2"/>
      <w:r>
        <w:t>Hash</w:t>
      </w:r>
    </w:p>
    <w:p w:rsidR="00C91F74" w:rsidRDefault="00C91F74" w:rsidP="002F5FFB"/>
    <w:p w:rsidR="00C91F74" w:rsidRDefault="00C91F74" w:rsidP="002F5FFB">
      <w:r>
        <w:rPr>
          <w:noProof/>
          <w:lang w:eastAsia="es-AR"/>
        </w:rPr>
        <w:lastRenderedPageBreak/>
        <w:drawing>
          <wp:inline distT="0" distB="0" distL="0" distR="0">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t>HashBlockFile</w:t>
      </w:r>
      <w:proofErr w:type="spellEnd"/>
      <w:r>
        <w:t xml:space="preserve"> es en este caso la interfaz de alto nivel provista al usuario, mediante la cual se efectúan todas las operaciones. Esta clase está asociada a la clase </w:t>
      </w:r>
      <w:proofErr w:type="spellStart"/>
      <w:r>
        <w:t>HashBlock</w:t>
      </w:r>
      <w:proofErr w:type="spellEnd"/>
      <w:r>
        <w:t xml:space="preserve"> la cual se encarga de las  operaciones con registros.  Por otro lado, se ve la asociación entre </w:t>
      </w:r>
      <w:proofErr w:type="spellStart"/>
      <w:r>
        <w:t>HashBlockFile</w:t>
      </w:r>
      <w:proofErr w:type="spellEnd"/>
      <w:r>
        <w:t xml:space="preserve"> y la clase abstracta </w:t>
      </w:r>
      <w:proofErr w:type="spellStart"/>
      <w:r>
        <w:t>HashingFunction</w:t>
      </w:r>
      <w:proofErr w:type="spellEnd"/>
      <w:r>
        <w:t>, actuando como interfaz de función Hash.</w:t>
      </w:r>
      <w:r w:rsidR="00D00BF8">
        <w:t xml:space="preserve"> Finalmente, la relación de herencia de las clases </w:t>
      </w:r>
      <w:proofErr w:type="spellStart"/>
      <w:r w:rsidR="00D00BF8">
        <w:t>VoterHashingFunction</w:t>
      </w:r>
      <w:proofErr w:type="spellEnd"/>
      <w:r w:rsidR="00D00BF8">
        <w:t xml:space="preserve"> y </w:t>
      </w:r>
      <w:proofErr w:type="spellStart"/>
      <w:r w:rsidR="00D00BF8">
        <w:t>ChargeHashingFunction</w:t>
      </w:r>
      <w:proofErr w:type="spellEnd"/>
      <w:r w:rsidR="00D00BF8">
        <w:t xml:space="preserve"> con </w:t>
      </w:r>
      <w:proofErr w:type="spellStart"/>
      <w:r w:rsidR="00D00BF8">
        <w:t>HashingFunction</w:t>
      </w:r>
      <w:proofErr w:type="spellEnd"/>
      <w:r w:rsidR="00D00BF8">
        <w:t xml:space="preserve"> que sirven para reutilizar el hash para distintas entidades.</w:t>
      </w:r>
    </w:p>
    <w:p w:rsidR="00C91F74" w:rsidRPr="002F5FFB" w:rsidRDefault="00C91F74" w:rsidP="002F5FFB"/>
    <w:sectPr w:rsidR="00C91F74" w:rsidRPr="002F5FFB"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71DCF"/>
    <w:rsid w:val="003866DA"/>
    <w:rsid w:val="0039057A"/>
    <w:rsid w:val="003954A0"/>
    <w:rsid w:val="003A23FB"/>
    <w:rsid w:val="003B24DF"/>
    <w:rsid w:val="003B3376"/>
    <w:rsid w:val="003C0107"/>
    <w:rsid w:val="003F3EBE"/>
    <w:rsid w:val="0045589F"/>
    <w:rsid w:val="00465A19"/>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6B88"/>
    <w:rsid w:val="00593066"/>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D25C9"/>
    <w:rsid w:val="009E25B4"/>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6A29"/>
    <w:rsid w:val="00D07664"/>
    <w:rsid w:val="00D16EB0"/>
    <w:rsid w:val="00D7252D"/>
    <w:rsid w:val="00D846E6"/>
    <w:rsid w:val="00DB06E9"/>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03747"/>
    <w:rsid w:val="00F07963"/>
    <w:rsid w:val="00F133C5"/>
    <w:rsid w:val="00F165C1"/>
    <w:rsid w:val="00F328BE"/>
    <w:rsid w:val="00F4116B"/>
    <w:rsid w:val="00F52321"/>
    <w:rsid w:val="00F63F73"/>
    <w:rsid w:val="00F85C63"/>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40D7D-73F9-4DB0-A93E-7CEB3D189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2271</Words>
  <Characters>12496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221</cp:revision>
  <cp:lastPrinted>2011-09-24T05:16:00Z</cp:lastPrinted>
  <dcterms:created xsi:type="dcterms:W3CDTF">2011-09-24T00:18:00Z</dcterms:created>
  <dcterms:modified xsi:type="dcterms:W3CDTF">2011-10-20T04:42:00Z</dcterms:modified>
</cp:coreProperties>
</file>