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Label"/>
        <w:jc w:val="center"/>
      </w:pPr>
      <w:r>
        <w:rPr>
          <w:rFonts w:ascii="Aptos" w:hAnsi="Aptos"/>
          <w:b/>
          <w:i w:val="0"/>
          <w:color w:val="D6A936"/>
          <w:sz w:val="18"/>
        </w:rPr>
        <w:t>DESIGN BRIEF + REQUEST FOR CRITIQUE</w:t>
      </w:r>
    </w:p>
    <w:p>
      <w:pPr>
        <w:pStyle w:val="Title"/>
        <w:spacing w:before="440"/>
        <w:jc w:val="center"/>
      </w:pPr>
      <w:r>
        <w:rPr>
          <w:rFonts w:ascii="Aptos" w:hAnsi="Aptos"/>
          <w:b/>
          <w:i w:val="0"/>
          <w:color w:val="10283B"/>
          <w:sz w:val="62"/>
        </w:rPr>
        <w:t>Sequence</w:t>
      </w:r>
    </w:p>
    <w:p>
      <w:pPr>
        <w:pStyle w:val="Subtitle"/>
        <w:jc w:val="center"/>
      </w:pPr>
      <w:r>
        <w:rPr>
          <w:rFonts w:ascii="Aptos" w:hAnsi="Aptos"/>
          <w:b w:val="0"/>
          <w:i w:val="0"/>
          <w:color w:val="5A6A73"/>
          <w:sz w:val="28"/>
        </w:rPr>
        <w:t>A reusable educational game for learning how real processes unfold</w:t>
      </w:r>
    </w:p>
    <w:tbl>
      <w:tblPr>
        <w:tblW w:type="auto" w:w="0"/>
        <w:jc w:val="center"/>
        <w:tblLook w:firstColumn="1" w:firstRow="1" w:lastColumn="0" w:lastRow="0" w:noHBand="0" w:noVBand="1" w:val="04A0"/>
      </w:tblPr>
      <w:tblGrid>
        <w:gridCol w:w="10166"/>
      </w:tblGrid>
      <w:tr>
        <w:trPr/>
        <w:tc>
          <w:tcPr>
            <w:tcW w:type="dxa" w:w="10166"/>
            <w:shd w:fill="D6A936"/>
            <w:tcMar>
              <w:top w:w="0" w:type="dxa"/>
              <w:start w:w="0" w:type="dxa"/>
              <w:bottom w:w="0" w:type="dxa"/>
              <w:end w:w="0" w:type="dxa"/>
            </w:tcMar>
          </w:tcPr>
          <w:p>
            <w:pPr>
              <w:keepLines/>
            </w:pPr>
          </w:p>
        </w:tc>
      </w:tr>
    </w:tbl>
    <w:p>
      <w:pPr>
        <w:spacing w:before="360"/>
        <w:jc w:val="center"/>
      </w:pPr>
      <w:r>
        <w:rPr>
          <w:rFonts w:ascii="Aptos" w:hAnsi="Aptos"/>
          <w:b/>
          <w:i w:val="0"/>
          <w:color w:val="2E77A4"/>
          <w:sz w:val="23"/>
        </w:rPr>
        <w:t>Current prototype: ten disciplines, tutorial-first feedback, sliding cards, three relational clues</w:t>
      </w:r>
    </w:p>
    <w:tbl>
      <w:tblPr>
        <w:tblW w:type="auto" w:w="0"/>
        <w:jc w:val="center"/>
        <w:tblLook w:firstColumn="1" w:firstRow="1" w:lastColumn="0" w:lastRow="0" w:noHBand="0" w:noVBand="1" w:val="04A0"/>
      </w:tblPr>
      <w:tblGrid>
        <w:gridCol w:w="10166"/>
      </w:tblGrid>
      <w:tr>
        <w:trPr/>
        <w:tc>
          <w:tcPr>
            <w:tcW w:type="dxa" w:w="10166"/>
            <w:shd w:fill="F8F0D8"/>
            <w:tcMar>
              <w:top w:w="130" w:type="dxa"/>
              <w:start w:w="150" w:type="dxa"/>
              <w:bottom w:w="130" w:type="dxa"/>
              <w:end w:w="150" w:type="dxa"/>
            </w:tcMar>
            <w:tcBorders>
              <w:top w:val="single" w:sz="8" w:color="D6A936"/>
              <w:left w:val="single" w:sz="8" w:color="D6A936"/>
              <w:bottom w:val="single" w:sz="8" w:color="D6A936"/>
              <w:right w:val="single" w:sz="8" w:color="D6A936"/>
            </w:tcBorders>
          </w:tcPr>
          <w:p>
            <w:pPr>
              <w:keepLines/>
              <w:spacing w:after="100"/>
            </w:pPr>
            <w:r>
              <w:rPr>
                <w:rFonts w:ascii="Aptos" w:hAnsi="Aptos"/>
                <w:b/>
                <w:i w:val="0"/>
                <w:color w:val="D6A936"/>
                <w:sz w:val="23"/>
              </w:rPr>
              <w:t>Purpose of this document</w:t>
            </w:r>
          </w:p>
          <w:p>
            <w:pPr>
              <w:keepLines/>
              <w:spacing w:after="0"/>
            </w:pPr>
            <w:r>
              <w:rPr>
                <w:rFonts w:ascii="Aptos" w:hAnsi="Aptos"/>
                <w:b w:val="0"/>
                <w:i w:val="0"/>
                <w:color w:val="17242B"/>
                <w:sz w:val="21"/>
              </w:rPr>
              <w:t>This document explains the current design and the decisions reached through several iterations. It is meant to be uploaded to Claude for a candid critique of the game mechanics, educational value, writing approach, and scalability.</w:t>
            </w:r>
          </w:p>
        </w:tc>
      </w:tr>
    </w:tbl>
    <w:p>
      <w:pPr>
        <w:spacing w:after="20"/>
      </w:pPr>
    </w:p>
    <w:p>
      <w:pPr>
        <w:spacing w:before="360"/>
        <w:jc w:val="center"/>
      </w:pPr>
      <w:r>
        <w:rPr>
          <w:rFonts w:ascii="Aptos" w:hAnsi="Aptos"/>
          <w:b/>
          <w:i w:val="0"/>
          <w:color w:val="5A6A73"/>
          <w:sz w:val="22"/>
        </w:rPr>
        <w:t>The core question:</w:t>
      </w:r>
    </w:p>
    <w:p>
      <w:pPr>
        <w:jc w:val="center"/>
      </w:pPr>
      <w:r>
        <w:rPr>
          <w:rFonts w:ascii="Aptos" w:hAnsi="Aptos"/>
          <w:b/>
          <w:i/>
          <w:color w:val="10283B"/>
          <w:sz w:val="30"/>
        </w:rPr>
        <w:t>Can a simple ordering game teach unfamiliar material while still requiring genuine sequential reasoning?</w:t>
      </w:r>
    </w:p>
    <w:p>
      <w:r>
        <w:br w:type="page"/>
      </w:r>
    </w:p>
    <w:p>
      <w:pPr>
        <w:pStyle w:val="Heading1"/>
        <w:keepNext/>
      </w:pPr>
      <w:r>
        <w:rPr>
          <w:rFonts w:ascii="Aptos" w:hAnsi="Aptos"/>
          <w:b/>
          <w:i w:val="0"/>
          <w:color w:val="10283B"/>
          <w:sz w:val="34"/>
        </w:rPr>
        <w:t>1. Executive summary</w:t>
      </w:r>
    </w:p>
    <w:p>
      <w:r>
        <w:rPr>
          <w:rFonts w:ascii="Aptos" w:hAnsi="Aptos"/>
          <w:b w:val="0"/>
          <w:i w:val="0"/>
          <w:sz w:val="21"/>
        </w:rPr>
        <w:t xml:space="preserve">Sequence is a browser-based educational puzzle in which the player rearranges shuffled cards into the correct order. </w:t>
      </w:r>
      <w:r>
        <w:rPr>
          <w:rFonts w:ascii="Aptos" w:hAnsi="Aptos"/>
          <w:b/>
          <w:i w:val="0"/>
          <w:color w:val="2E77A4"/>
          <w:sz w:val="21"/>
        </w:rPr>
        <w:t>The intended skill is sequential and dependency reasoning</w:t>
      </w:r>
      <w:r>
        <w:rPr>
          <w:rFonts w:ascii="Aptos" w:hAnsi="Aptos"/>
          <w:b w:val="0"/>
          <w:i w:val="0"/>
          <w:sz w:val="21"/>
        </w:rPr>
        <w:t>: understanding what must be true, exist, or occur for a different state to become possible.</w:t>
      </w:r>
    </w:p>
    <w:p>
      <w:r>
        <w:rPr>
          <w:rFonts w:ascii="Aptos" w:hAnsi="Aptos"/>
          <w:b w:val="0"/>
          <w:i w:val="0"/>
          <w:sz w:val="21"/>
        </w:rPr>
        <w:t>The project is designed to work across very different disciplines. The current collection includes medicine, astronomy, computing, law, history, aerospace engineering, chemistry, ecology, earth science, and payment systems. The educational challenge is to give enough explanation for a high-school-level learner to reason successfully without writing the answer into the cards or background material.</w:t>
      </w:r>
    </w:p>
    <w:tbl>
      <w:tblPr>
        <w:tblW w:type="auto" w:w="0"/>
        <w:jc w:val="center"/>
        <w:tblLook w:firstColumn="1" w:firstRow="1" w:lastColumn="0" w:lastRow="0" w:noHBand="0" w:noVBand="1" w:val="04A0"/>
      </w:tblPr>
      <w:tblGrid>
        <w:gridCol w:w="10166"/>
      </w:tblGrid>
      <w:tr>
        <w:trPr/>
        <w:tc>
          <w:tcPr>
            <w:tcW w:type="dxa" w:w="10166"/>
            <w:shd w:fill="DCEEF7"/>
            <w:tcMar>
              <w:top w:w="130" w:type="dxa"/>
              <w:start w:w="150" w:type="dxa"/>
              <w:bottom w:w="130" w:type="dxa"/>
              <w:end w:w="150" w:type="dxa"/>
            </w:tcMar>
            <w:tcBorders>
              <w:top w:val="single" w:sz="8" w:color="2E77A4"/>
              <w:left w:val="single" w:sz="8" w:color="2E77A4"/>
              <w:bottom w:val="single" w:sz="8" w:color="2E77A4"/>
              <w:right w:val="single" w:sz="8" w:color="2E77A4"/>
            </w:tcBorders>
          </w:tcPr>
          <w:p>
            <w:pPr>
              <w:keepLines/>
              <w:spacing w:after="100"/>
            </w:pPr>
            <w:r>
              <w:rPr>
                <w:rFonts w:ascii="Aptos" w:hAnsi="Aptos"/>
                <w:b/>
                <w:i w:val="0"/>
                <w:color w:val="2E77A4"/>
                <w:sz w:val="23"/>
              </w:rPr>
              <w:t>Current design in one paragraph</w:t>
            </w:r>
          </w:p>
          <w:p>
            <w:pPr>
              <w:keepLines/>
              <w:spacing w:after="0"/>
            </w:pPr>
            <w:r>
              <w:rPr>
                <w:rFonts w:ascii="Aptos" w:hAnsi="Aptos"/>
                <w:b w:val="0"/>
                <w:i w:val="0"/>
                <w:color w:val="17242B"/>
                <w:sz w:val="21"/>
              </w:rPr>
              <w:t>A learner reads a brief non-sequential introduction and a plain-language glossary, then sees all event cards in a shuffled vertical list. Each card contains one clear sentence stating what is going on and a high-school-level paragraph explaining the underlying ideas. The learner slides cards up or down. Three visible clues describe relationships among selected events. In the default Tutorial mode, checking locks the longest correct opening sequence in green; the learner continues rearranging the remaining cards.</w:t>
            </w:r>
          </w:p>
        </w:tc>
      </w:tr>
    </w:tbl>
    <w:p>
      <w:pPr>
        <w:spacing w:after="20"/>
      </w:pPr>
    </w:p>
    <w:p>
      <w:pPr>
        <w:pStyle w:val="Heading2"/>
        <w:keepNext/>
      </w:pPr>
      <w:r>
        <w:rPr>
          <w:rFonts w:ascii="Aptos" w:hAnsi="Aptos"/>
          <w:b/>
          <w:i w:val="0"/>
          <w:color w:val="2E77A4"/>
          <w:sz w:val="26"/>
        </w:rPr>
        <w:t>What the game should not become</w:t>
      </w:r>
    </w:p>
    <w:p>
      <w:pPr>
        <w:pStyle w:val="ListBullet"/>
        <w:spacing w:after="60"/>
      </w:pPr>
      <w:r>
        <w:rPr>
          <w:rFonts w:ascii="Aptos" w:hAnsi="Aptos"/>
          <w:b w:val="0"/>
          <w:i w:val="0"/>
          <w:color w:val="17242B"/>
          <w:sz w:val="21"/>
        </w:rPr>
        <w:t>A vocabulary test in which success depends on already knowing specialist jargon.</w:t>
      </w:r>
    </w:p>
    <w:p>
      <w:pPr>
        <w:pStyle w:val="ListBullet"/>
        <w:spacing w:after="60"/>
      </w:pPr>
      <w:r>
        <w:rPr>
          <w:rFonts w:ascii="Aptos" w:hAnsi="Aptos"/>
          <w:b w:val="0"/>
          <w:i w:val="0"/>
          <w:color w:val="17242B"/>
          <w:sz w:val="21"/>
        </w:rPr>
        <w:t>A reading-order exercise in which words such as “first,” “later,” or “after” reveal the answer.</w:t>
      </w:r>
    </w:p>
    <w:p>
      <w:pPr>
        <w:pStyle w:val="ListBullet"/>
        <w:spacing w:after="60"/>
      </w:pPr>
      <w:r>
        <w:rPr>
          <w:rFonts w:ascii="Aptos" w:hAnsi="Aptos"/>
          <w:b w:val="0"/>
          <w:i w:val="0"/>
          <w:color w:val="17242B"/>
          <w:sz w:val="21"/>
        </w:rPr>
        <w:t>A pure trial-and-error puzzle that can be solved by repeatedly checking one position at a time.</w:t>
      </w:r>
    </w:p>
    <w:p>
      <w:pPr>
        <w:pStyle w:val="ListBullet"/>
        <w:spacing w:after="60"/>
      </w:pPr>
      <w:r>
        <w:rPr>
          <w:rFonts w:ascii="Aptos" w:hAnsi="Aptos"/>
          <w:b w:val="0"/>
          <w:i w:val="0"/>
          <w:color w:val="17242B"/>
          <w:sz w:val="21"/>
        </w:rPr>
        <w:t>A dense textbook lesson with a thin game placed on top of it.</w:t>
      </w:r>
    </w:p>
    <w:p>
      <w:pPr>
        <w:pStyle w:val="ListBullet"/>
        <w:spacing w:after="60"/>
      </w:pPr>
      <w:r>
        <w:rPr>
          <w:rFonts w:ascii="Aptos" w:hAnsi="Aptos"/>
          <w:b w:val="0"/>
          <w:i w:val="0"/>
          <w:color w:val="17242B"/>
          <w:sz w:val="21"/>
        </w:rPr>
        <w:t>A chronological trivia quiz that works only for historical dates.</w:t>
      </w:r>
    </w:p>
    <w:p>
      <w:pPr>
        <w:pStyle w:val="Heading1"/>
        <w:keepNext/>
      </w:pPr>
      <w:r>
        <w:rPr>
          <w:rFonts w:ascii="Aptos" w:hAnsi="Aptos"/>
          <w:b/>
          <w:i w:val="0"/>
          <w:color w:val="10283B"/>
          <w:sz w:val="34"/>
        </w:rPr>
        <w:t>2. Intended player experience</w:t>
      </w:r>
    </w:p>
    <w:p>
      <w:pPr>
        <w:pStyle w:val="ListNumber"/>
        <w:spacing w:after="80"/>
      </w:pPr>
      <w:r>
        <w:rPr>
          <w:rFonts w:ascii="Aptos" w:hAnsi="Aptos"/>
          <w:b w:val="0"/>
          <w:i w:val="0"/>
          <w:color w:val="17242B"/>
          <w:sz w:val="21"/>
        </w:rPr>
        <w:t>The player receives enough background to understand the domain without receiving a narrated sequence.</w:t>
      </w:r>
    </w:p>
    <w:p>
      <w:pPr>
        <w:pStyle w:val="ListNumber"/>
        <w:spacing w:after="80"/>
      </w:pPr>
      <w:r>
        <w:rPr>
          <w:rFonts w:ascii="Aptos" w:hAnsi="Aptos"/>
          <w:b w:val="0"/>
          <w:i w:val="0"/>
          <w:color w:val="17242B"/>
          <w:sz w:val="21"/>
        </w:rPr>
        <w:t>The player reads each card as a meaningful educational unit, not merely a label.</w:t>
      </w:r>
    </w:p>
    <w:p>
      <w:pPr>
        <w:pStyle w:val="ListNumber"/>
        <w:spacing w:after="80"/>
      </w:pPr>
      <w:r>
        <w:rPr>
          <w:rFonts w:ascii="Aptos" w:hAnsi="Aptos"/>
          <w:b w:val="0"/>
          <w:i w:val="0"/>
          <w:color w:val="17242B"/>
          <w:sz w:val="21"/>
        </w:rPr>
        <w:t>The player compares the states and asks what each state requires, produces, or makes possible.</w:t>
      </w:r>
    </w:p>
    <w:p>
      <w:pPr>
        <w:pStyle w:val="ListNumber"/>
        <w:spacing w:after="80"/>
      </w:pPr>
      <w:r>
        <w:rPr>
          <w:rFonts w:ascii="Aptos" w:hAnsi="Aptos"/>
          <w:b w:val="0"/>
          <w:i w:val="0"/>
          <w:color w:val="17242B"/>
          <w:sz w:val="21"/>
        </w:rPr>
        <w:t>The player uses three relational clues to resolve selected ambiguities rather than to reconstruct the whole answer mechanically.</w:t>
      </w:r>
    </w:p>
    <w:p>
      <w:pPr>
        <w:pStyle w:val="ListNumber"/>
        <w:spacing w:after="80"/>
      </w:pPr>
      <w:r>
        <w:rPr>
          <w:rFonts w:ascii="Aptos" w:hAnsi="Aptos"/>
          <w:b w:val="0"/>
          <w:i w:val="0"/>
          <w:color w:val="17242B"/>
          <w:sz w:val="21"/>
        </w:rPr>
        <w:t>The player checks the sequence. Correct cards at the beginning lock in place in Tutorial mode.</w:t>
      </w:r>
    </w:p>
    <w:p>
      <w:pPr>
        <w:pStyle w:val="ListNumber"/>
        <w:spacing w:after="80"/>
      </w:pPr>
      <w:r>
        <w:rPr>
          <w:rFonts w:ascii="Aptos" w:hAnsi="Aptos"/>
          <w:b w:val="0"/>
          <w:i w:val="0"/>
          <w:color w:val="17242B"/>
          <w:sz w:val="21"/>
        </w:rPr>
        <w:t>The player revises the remaining order and gradually builds a complete causal or chronological model.</w:t>
      </w:r>
    </w:p>
    <w:p>
      <w:pPr>
        <w:pStyle w:val="ListNumber"/>
        <w:spacing w:after="80"/>
      </w:pPr>
      <w:r>
        <w:rPr>
          <w:rFonts w:ascii="Aptos" w:hAnsi="Aptos"/>
          <w:b w:val="0"/>
          <w:i w:val="0"/>
          <w:color w:val="17242B"/>
          <w:sz w:val="21"/>
        </w:rPr>
        <w:t>The solved screen explains why each transition follows from the preceding state.</w:t>
      </w:r>
    </w:p>
    <w:tbl>
      <w:tblPr>
        <w:tblW w:type="auto" w:w="0"/>
        <w:jc w:val="center"/>
        <w:tblLook w:firstColumn="1" w:firstRow="1" w:lastColumn="0" w:lastRow="0" w:noHBand="0" w:noVBand="1" w:val="04A0"/>
      </w:tblPr>
      <w:tblGrid>
        <w:gridCol w:w="10166"/>
      </w:tblGrid>
      <w:tr>
        <w:trPr/>
        <w:tc>
          <w:tcPr>
            <w:tcW w:type="dxa" w:w="10166"/>
            <w:shd w:fill="E7F4EB"/>
            <w:tcMar>
              <w:top w:w="130" w:type="dxa"/>
              <w:start w:w="150" w:type="dxa"/>
              <w:bottom w:w="130" w:type="dxa"/>
              <w:end w:w="150" w:type="dxa"/>
            </w:tcMar>
            <w:tcBorders>
              <w:top w:val="single" w:sz="8" w:color="4E9B68"/>
              <w:left w:val="single" w:sz="8" w:color="4E9B68"/>
              <w:bottom w:val="single" w:sz="8" w:color="4E9B68"/>
              <w:right w:val="single" w:sz="8" w:color="4E9B68"/>
            </w:tcBorders>
          </w:tcPr>
          <w:p>
            <w:pPr>
              <w:keepLines/>
              <w:spacing w:after="100"/>
            </w:pPr>
            <w:r>
              <w:rPr>
                <w:rFonts w:ascii="Aptos" w:hAnsi="Aptos"/>
                <w:b/>
                <w:i w:val="0"/>
                <w:color w:val="4E9B68"/>
                <w:sz w:val="23"/>
              </w:rPr>
              <w:t>Educational principle</w:t>
            </w:r>
          </w:p>
          <w:p>
            <w:pPr>
              <w:keepLines/>
              <w:spacing w:after="0"/>
            </w:pPr>
            <w:r>
              <w:rPr>
                <w:rFonts w:ascii="Aptos" w:hAnsi="Aptos"/>
                <w:b w:val="0"/>
                <w:i w:val="0"/>
                <w:color w:val="17242B"/>
                <w:sz w:val="21"/>
              </w:rPr>
              <w:t>The player should leave with a mental model of the process. Ordering the cards is the activity that forces the learner to connect the concepts; it is not the educational content by itself.</w:t>
            </w:r>
          </w:p>
        </w:tc>
      </w:tr>
    </w:tbl>
    <w:p>
      <w:pPr>
        <w:spacing w:after="20"/>
      </w:pPr>
    </w:p>
    <w:p>
      <w:pPr>
        <w:pStyle w:val="Heading1"/>
        <w:keepNext/>
      </w:pPr>
      <w:r>
        <w:rPr>
          <w:rFonts w:ascii="Aptos" w:hAnsi="Aptos"/>
          <w:b/>
          <w:i w:val="0"/>
          <w:color w:val="10283B"/>
          <w:sz w:val="34"/>
        </w:rPr>
        <w:t>3. Core mechanics</w:t>
      </w:r>
    </w:p>
    <w:tbl>
      <w:tblPr>
        <w:tblStyle w:val="TableGrid"/>
        <w:tblW w:type="auto" w:w="0"/>
        <w:jc w:val="center"/>
        <w:tblLayout w:type="fixed"/>
        <w:tblLook w:firstColumn="1" w:firstRow="1" w:lastColumn="0" w:lastRow="0" w:noHBand="0" w:noVBand="1" w:val="04A0"/>
      </w:tblPr>
      <w:tblGrid>
        <w:gridCol w:w="2880"/>
        <w:gridCol w:w="6768"/>
      </w:tblGrid>
      <w:tr>
        <w:trPr>
          <w:tblHeader w:val="true"/>
        </w:trPr>
        <w:tc>
          <w:tcPr>
            <w:tcW w:type="dxa" w:w="5083"/>
            <w:shd w:fill="10283B"/>
            <w:tcMar>
              <w:top w:w="90" w:type="dxa"/>
              <w:start w:w="110" w:type="dxa"/>
              <w:bottom w:w="90" w:type="dxa"/>
              <w:end w:w="110" w:type="dxa"/>
            </w:tcMar>
          </w:tcPr>
          <w:p>
            <w:pPr>
              <w:keepLines/>
            </w:pPr>
            <w:r>
              <w:rPr>
                <w:rFonts w:ascii="Aptos" w:hAnsi="Aptos"/>
                <w:b/>
                <w:color w:val="FFFFFF"/>
                <w:sz w:val="20"/>
              </w:rPr>
              <w:t>Mechanic</w:t>
            </w:r>
          </w:p>
        </w:tc>
        <w:tc>
          <w:tcPr>
            <w:tcW w:type="dxa" w:w="5083"/>
            <w:shd w:fill="10283B"/>
            <w:tcMar>
              <w:top w:w="90" w:type="dxa"/>
              <w:start w:w="110" w:type="dxa"/>
              <w:bottom w:w="90" w:type="dxa"/>
              <w:end w:w="110" w:type="dxa"/>
            </w:tcMar>
          </w:tcPr>
          <w:p>
            <w:pPr>
              <w:keepLines/>
            </w:pPr>
            <w:r>
              <w:rPr>
                <w:rFonts w:ascii="Aptos" w:hAnsi="Aptos"/>
                <w:b/>
                <w:color w:val="FFFFFF"/>
                <w:sz w:val="20"/>
              </w:rPr>
              <w:t>Current decision</w:t>
            </w:r>
          </w:p>
        </w:tc>
      </w:tr>
      <w:tr>
        <w:trPr/>
        <w:tc>
          <w:tcPr>
            <w:tcW w:type="dxa" w:w="2880"/>
            <w:tcMar>
              <w:top w:w="90" w:type="dxa"/>
              <w:start w:w="110" w:type="dxa"/>
              <w:bottom w:w="90" w:type="dxa"/>
              <w:end w:w="110" w:type="dxa"/>
            </w:tcMar>
            <w:shd w:fill="DCEEF7"/>
          </w:tcPr>
          <w:p>
            <w:pPr>
              <w:keepLines/>
            </w:pPr>
            <w:r>
              <w:rPr>
                <w:rFonts w:ascii="Aptos" w:hAnsi="Aptos"/>
                <w:b/>
                <w:color w:val="2E77A4"/>
                <w:sz w:val="19"/>
              </w:rPr>
              <w:t>Single vertical timeline</w:t>
            </w:r>
          </w:p>
        </w:tc>
        <w:tc>
          <w:tcPr>
            <w:tcW w:type="dxa" w:w="6768"/>
            <w:tcMar>
              <w:top w:w="90" w:type="dxa"/>
              <w:start w:w="110" w:type="dxa"/>
              <w:bottom w:w="90" w:type="dxa"/>
              <w:end w:w="110" w:type="dxa"/>
            </w:tcMar>
          </w:tcPr>
          <w:p>
            <w:pPr>
              <w:keepLines/>
            </w:pPr>
            <w:r>
              <w:rPr>
                <w:rFonts w:ascii="Aptos" w:hAnsi="Aptos"/>
                <w:sz w:val="19"/>
              </w:rPr>
              <w:t>Every card begins in one shuffled list. The player does not move cards from a separate pool into empty slots.</w:t>
            </w:r>
          </w:p>
        </w:tc>
      </w:tr>
      <w:tr>
        <w:trPr/>
        <w:tc>
          <w:tcPr>
            <w:tcW w:type="dxa" w:w="2880"/>
            <w:tcMar>
              <w:top w:w="90" w:type="dxa"/>
              <w:start w:w="110" w:type="dxa"/>
              <w:bottom w:w="90" w:type="dxa"/>
              <w:end w:w="110" w:type="dxa"/>
            </w:tcMar>
            <w:shd w:fill="DCEEF7"/>
          </w:tcPr>
          <w:p>
            <w:pPr>
              <w:keepLines/>
            </w:pPr>
            <w:r>
              <w:rPr>
                <w:rFonts w:ascii="Aptos" w:hAnsi="Aptos"/>
                <w:b/>
                <w:color w:val="2E77A4"/>
                <w:sz w:val="19"/>
              </w:rPr>
              <w:t>Direct reordering</w:t>
            </w:r>
          </w:p>
        </w:tc>
        <w:tc>
          <w:tcPr>
            <w:tcW w:type="dxa" w:w="6768"/>
            <w:tcMar>
              <w:top w:w="90" w:type="dxa"/>
              <w:start w:w="110" w:type="dxa"/>
              <w:bottom w:w="90" w:type="dxa"/>
              <w:end w:w="110" w:type="dxa"/>
            </w:tcMar>
          </w:tcPr>
          <w:p>
            <w:pPr>
              <w:keepLines/>
            </w:pPr>
            <w:r>
              <w:rPr>
                <w:rFonts w:ascii="Aptos" w:hAnsi="Aptos"/>
                <w:sz w:val="19"/>
              </w:rPr>
              <w:t>Cards can be dragged vertically or moved with large up/down buttons, making the interface usable on desktop and touchscreens.</w:t>
            </w:r>
          </w:p>
        </w:tc>
      </w:tr>
      <w:tr>
        <w:trPr/>
        <w:tc>
          <w:tcPr>
            <w:tcW w:type="dxa" w:w="2880"/>
            <w:tcMar>
              <w:top w:w="90" w:type="dxa"/>
              <w:start w:w="110" w:type="dxa"/>
              <w:bottom w:w="90" w:type="dxa"/>
              <w:end w:w="110" w:type="dxa"/>
            </w:tcMar>
            <w:shd w:fill="DCEEF7"/>
          </w:tcPr>
          <w:p>
            <w:pPr>
              <w:keepLines/>
            </w:pPr>
            <w:r>
              <w:rPr>
                <w:rFonts w:ascii="Aptos" w:hAnsi="Aptos"/>
                <w:b/>
                <w:color w:val="2E77A4"/>
                <w:sz w:val="19"/>
              </w:rPr>
              <w:t>Tutorial mode as the default</w:t>
            </w:r>
          </w:p>
        </w:tc>
        <w:tc>
          <w:tcPr>
            <w:tcW w:type="dxa" w:w="6768"/>
            <w:tcMar>
              <w:top w:w="90" w:type="dxa"/>
              <w:start w:w="110" w:type="dxa"/>
              <w:bottom w:w="90" w:type="dxa"/>
              <w:end w:w="110" w:type="dxa"/>
            </w:tcMar>
          </w:tcPr>
          <w:p>
            <w:pPr>
              <w:keepLines/>
            </w:pPr>
            <w:r>
              <w:rPr>
                <w:rFonts w:ascii="Aptos" w:hAnsi="Aptos"/>
                <w:sz w:val="19"/>
              </w:rPr>
              <w:t>A check identifies and locks the longest correct opening sequence. Green cards cannot be moved or crossed.</w:t>
            </w:r>
          </w:p>
        </w:tc>
      </w:tr>
      <w:tr>
        <w:trPr/>
        <w:tc>
          <w:tcPr>
            <w:tcW w:type="dxa" w:w="2880"/>
            <w:tcMar>
              <w:top w:w="90" w:type="dxa"/>
              <w:start w:w="110" w:type="dxa"/>
              <w:bottom w:w="90" w:type="dxa"/>
              <w:end w:w="110" w:type="dxa"/>
            </w:tcMar>
            <w:shd w:fill="DCEEF7"/>
          </w:tcPr>
          <w:p>
            <w:pPr>
              <w:keepLines/>
            </w:pPr>
            <w:r>
              <w:rPr>
                <w:rFonts w:ascii="Aptos" w:hAnsi="Aptos"/>
                <w:b/>
                <w:color w:val="2E77A4"/>
                <w:sz w:val="19"/>
              </w:rPr>
              <w:t>Challenge mode as an option</w:t>
            </w:r>
          </w:p>
        </w:tc>
        <w:tc>
          <w:tcPr>
            <w:tcW w:type="dxa" w:w="6768"/>
            <w:tcMar>
              <w:top w:w="90" w:type="dxa"/>
              <w:start w:w="110" w:type="dxa"/>
              <w:bottom w:w="90" w:type="dxa"/>
              <w:end w:w="110" w:type="dxa"/>
            </w:tcMar>
          </w:tcPr>
          <w:p>
            <w:pPr>
              <w:keepLines/>
            </w:pPr>
            <w:r>
              <w:rPr>
                <w:rFonts w:ascii="Aptos" w:hAnsi="Aptos"/>
                <w:sz w:val="19"/>
              </w:rPr>
              <w:t>A check reports only how many cards are in exact positions and does not identify them.</w:t>
            </w:r>
          </w:p>
        </w:tc>
      </w:tr>
      <w:tr>
        <w:trPr/>
        <w:tc>
          <w:tcPr>
            <w:tcW w:type="dxa" w:w="2880"/>
            <w:tcMar>
              <w:top w:w="90" w:type="dxa"/>
              <w:start w:w="110" w:type="dxa"/>
              <w:bottom w:w="90" w:type="dxa"/>
              <w:end w:w="110" w:type="dxa"/>
            </w:tcMar>
            <w:shd w:fill="DCEEF7"/>
          </w:tcPr>
          <w:p>
            <w:pPr>
              <w:keepLines/>
            </w:pPr>
            <w:r>
              <w:rPr>
                <w:rFonts w:ascii="Aptos" w:hAnsi="Aptos"/>
                <w:b/>
                <w:color w:val="2E77A4"/>
                <w:sz w:val="19"/>
              </w:rPr>
              <w:t>Three visible clues</w:t>
            </w:r>
          </w:p>
        </w:tc>
        <w:tc>
          <w:tcPr>
            <w:tcW w:type="dxa" w:w="6768"/>
            <w:tcMar>
              <w:top w:w="90" w:type="dxa"/>
              <w:start w:w="110" w:type="dxa"/>
              <w:bottom w:w="90" w:type="dxa"/>
              <w:end w:w="110" w:type="dxa"/>
            </w:tcMar>
          </w:tcPr>
          <w:p>
            <w:pPr>
              <w:keepLines/>
            </w:pPr>
            <w:r>
              <w:rPr>
                <w:rFonts w:ascii="Aptos" w:hAnsi="Aptos"/>
                <w:sz w:val="19"/>
              </w:rPr>
              <w:t>Every case has exactly three clues. They remain visible and connect specific cards through dependencies or shared evidence.</w:t>
            </w:r>
          </w:p>
        </w:tc>
      </w:tr>
      <w:tr>
        <w:trPr/>
        <w:tc>
          <w:tcPr>
            <w:tcW w:type="dxa" w:w="2880"/>
            <w:tcMar>
              <w:top w:w="90" w:type="dxa"/>
              <w:start w:w="110" w:type="dxa"/>
              <w:bottom w:w="90" w:type="dxa"/>
              <w:end w:w="110" w:type="dxa"/>
            </w:tcMar>
            <w:shd w:fill="DCEEF7"/>
          </w:tcPr>
          <w:p>
            <w:pPr>
              <w:keepLines/>
            </w:pPr>
            <w:r>
              <w:rPr>
                <w:rFonts w:ascii="Aptos" w:hAnsi="Aptos"/>
                <w:b/>
                <w:color w:val="2E77A4"/>
                <w:sz w:val="19"/>
              </w:rPr>
              <w:t>Solved explanation</w:t>
            </w:r>
          </w:p>
        </w:tc>
        <w:tc>
          <w:tcPr>
            <w:tcW w:type="dxa" w:w="6768"/>
            <w:tcMar>
              <w:top w:w="90" w:type="dxa"/>
              <w:start w:w="110" w:type="dxa"/>
              <w:bottom w:w="90" w:type="dxa"/>
              <w:end w:w="110" w:type="dxa"/>
            </w:tcMar>
          </w:tcPr>
          <w:p>
            <w:pPr>
              <w:keepLines/>
            </w:pPr>
            <w:r>
              <w:rPr>
                <w:rFonts w:ascii="Aptos" w:hAnsi="Aptos"/>
                <w:sz w:val="19"/>
              </w:rPr>
              <w:t>The final screen presents the complete sequence and explains why each transition follows.</w:t>
            </w:r>
          </w:p>
        </w:tc>
      </w:tr>
    </w:tbl>
    <w:p/>
    <w:p>
      <w:pPr>
        <w:pStyle w:val="Heading1"/>
        <w:keepNext/>
      </w:pPr>
      <w:r>
        <w:rPr>
          <w:rFonts w:ascii="Aptos" w:hAnsi="Aptos"/>
          <w:b/>
          <w:i w:val="0"/>
          <w:color w:val="10283B"/>
          <w:sz w:val="34"/>
        </w:rPr>
        <w:t>4. Writing standard for each card</w:t>
      </w:r>
    </w:p>
    <w:p>
      <w:r>
        <w:rPr>
          <w:rFonts w:ascii="Aptos" w:hAnsi="Aptos"/>
          <w:b/>
          <w:i w:val="0"/>
          <w:color w:val="10283B"/>
          <w:sz w:val="21"/>
        </w:rPr>
        <w:t>Each movable card has only two layers. There are no labels such as “What happened,” “Why this matters,” or “Helpful context.”</w:t>
      </w:r>
    </w:p>
    <w:p>
      <w:pPr>
        <w:pStyle w:val="Heading2"/>
        <w:keepNext/>
      </w:pPr>
      <w:r>
        <w:rPr>
          <w:rFonts w:ascii="Aptos" w:hAnsi="Aptos"/>
          <w:b/>
          <w:i w:val="0"/>
          <w:color w:val="2E77A4"/>
          <w:sz w:val="26"/>
        </w:rPr>
        <w:t>Layer 1: one clear sentence describing the event</w:t>
      </w:r>
    </w:p>
    <w:p>
      <w:pPr>
        <w:pStyle w:val="ListBullet"/>
        <w:spacing w:after="60"/>
      </w:pPr>
      <w:r>
        <w:rPr>
          <w:rFonts w:ascii="Aptos" w:hAnsi="Aptos"/>
          <w:b w:val="0"/>
          <w:i w:val="0"/>
          <w:color w:val="17242B"/>
          <w:sz w:val="21"/>
        </w:rPr>
        <w:t>The sentence should tell a high-school learner what is physically, biologically, historically, legally, or computationally occurring.</w:t>
      </w:r>
    </w:p>
    <w:p>
      <w:pPr>
        <w:pStyle w:val="ListBullet"/>
        <w:spacing w:after="60"/>
      </w:pPr>
      <w:r>
        <w:rPr>
          <w:rFonts w:ascii="Aptos" w:hAnsi="Aptos"/>
          <w:b w:val="0"/>
          <w:i w:val="0"/>
          <w:color w:val="17242B"/>
          <w:sz w:val="21"/>
        </w:rPr>
        <w:t>It should be understandable without the old jargon-heavy card title.</w:t>
      </w:r>
    </w:p>
    <w:p>
      <w:pPr>
        <w:pStyle w:val="ListBullet"/>
        <w:spacing w:after="60"/>
      </w:pPr>
      <w:r>
        <w:rPr>
          <w:rFonts w:ascii="Aptos" w:hAnsi="Aptos"/>
          <w:b w:val="0"/>
          <w:i w:val="0"/>
          <w:color w:val="17242B"/>
          <w:sz w:val="21"/>
        </w:rPr>
        <w:t>It should avoid explicit order signals such as “first,” “second,” “next,” “after,” “later,” “previous,” and “finally.”</w:t>
      </w:r>
    </w:p>
    <w:p>
      <w:pPr>
        <w:pStyle w:val="ListBullet"/>
        <w:spacing w:after="60"/>
      </w:pPr>
      <w:r>
        <w:rPr>
          <w:rFonts w:ascii="Aptos" w:hAnsi="Aptos"/>
          <w:b w:val="0"/>
          <w:i w:val="0"/>
          <w:color w:val="17242B"/>
          <w:sz w:val="21"/>
        </w:rPr>
        <w:t>It may use necessary domain terms only when the explanation defines them immediately.</w:t>
      </w:r>
    </w:p>
    <w:p>
      <w:pPr>
        <w:pStyle w:val="Heading2"/>
        <w:keepNext/>
      </w:pPr>
      <w:r>
        <w:rPr>
          <w:rFonts w:ascii="Aptos" w:hAnsi="Aptos"/>
          <w:b/>
          <w:i w:val="0"/>
          <w:color w:val="2E77A4"/>
          <w:sz w:val="26"/>
        </w:rPr>
        <w:t>Layer 2: a high-school-level explanation</w:t>
      </w:r>
    </w:p>
    <w:p>
      <w:pPr>
        <w:pStyle w:val="ListBullet"/>
        <w:spacing w:after="60"/>
      </w:pPr>
      <w:r>
        <w:rPr>
          <w:rFonts w:ascii="Aptos" w:hAnsi="Aptos"/>
          <w:b w:val="0"/>
          <w:i w:val="0"/>
          <w:color w:val="17242B"/>
          <w:sz w:val="21"/>
        </w:rPr>
        <w:t>Explain the important agents, forces, structures, documents, or institutions involved.</w:t>
      </w:r>
    </w:p>
    <w:p>
      <w:pPr>
        <w:pStyle w:val="ListBullet"/>
        <w:spacing w:after="60"/>
      </w:pPr>
      <w:r>
        <w:rPr>
          <w:rFonts w:ascii="Aptos" w:hAnsi="Aptos"/>
          <w:b w:val="0"/>
          <w:i w:val="0"/>
          <w:color w:val="17242B"/>
          <w:sz w:val="21"/>
        </w:rPr>
        <w:t>Define unfamiliar terms in context rather than sending the learner back to a glossary for every sentence.</w:t>
      </w:r>
    </w:p>
    <w:p>
      <w:pPr>
        <w:pStyle w:val="ListBullet"/>
        <w:spacing w:after="60"/>
      </w:pPr>
      <w:r>
        <w:rPr>
          <w:rFonts w:ascii="Aptos" w:hAnsi="Aptos"/>
          <w:b w:val="0"/>
          <w:i w:val="0"/>
          <w:color w:val="17242B"/>
          <w:sz w:val="21"/>
        </w:rPr>
        <w:t>Explain why the state is scientifically or procedurally meaningful without explicitly stating its numbered position.</w:t>
      </w:r>
    </w:p>
    <w:p>
      <w:pPr>
        <w:pStyle w:val="ListBullet"/>
        <w:spacing w:after="60"/>
      </w:pPr>
      <w:r>
        <w:rPr>
          <w:rFonts w:ascii="Aptos" w:hAnsi="Aptos"/>
          <w:b w:val="0"/>
          <w:i w:val="0"/>
          <w:color w:val="17242B"/>
          <w:sz w:val="21"/>
        </w:rPr>
        <w:t>Favor concrete actions and observations over abstract labels.</w:t>
      </w:r>
    </w:p>
    <w:p>
      <w:pPr>
        <w:pStyle w:val="Heading2"/>
        <w:keepNext/>
      </w:pPr>
      <w:r>
        <w:rPr>
          <w:rFonts w:ascii="Aptos" w:hAnsi="Aptos"/>
          <w:b/>
          <w:i w:val="0"/>
          <w:color w:val="2E77A4"/>
          <w:sz w:val="26"/>
        </w:rPr>
        <w:t>Example of the intended card style</w:t>
      </w:r>
    </w:p>
    <w:tbl>
      <w:tblPr>
        <w:tblW w:type="auto" w:w="0"/>
        <w:jc w:val="center"/>
        <w:tblLayout w:type="fixed"/>
        <w:tblLook w:firstColumn="1" w:firstRow="1" w:lastColumn="0" w:lastRow="0" w:noHBand="0" w:noVBand="1" w:val="04A0"/>
      </w:tblPr>
      <w:tblGrid>
        <w:gridCol w:w="10166"/>
      </w:tblGrid>
      <w:tr>
        <w:trPr/>
        <w:tc>
          <w:tcPr>
            <w:tcW w:type="dxa" w:w="10166"/>
            <w:shd w:fill="F7FAFB"/>
            <w:tcMar>
              <w:top w:w="110" w:type="dxa"/>
              <w:start w:w="130" w:type="dxa"/>
              <w:bottom w:w="110" w:type="dxa"/>
              <w:end w:w="130" w:type="dxa"/>
            </w:tcMar>
          </w:tcPr>
          <w:p>
            <w:pPr>
              <w:keepLines/>
              <w:spacing w:after="100"/>
            </w:pPr>
            <w:r>
              <w:rPr>
                <w:rFonts w:ascii="Aptos" w:hAnsi="Aptos"/>
                <w:b/>
                <w:i w:val="0"/>
                <w:color w:val="10283B"/>
                <w:sz w:val="23"/>
              </w:rPr>
              <w:t>The browser verifies the site and turns on encryption.</w:t>
            </w:r>
          </w:p>
          <w:p>
            <w:pPr>
              <w:keepLines/>
              <w:spacing w:after="0"/>
            </w:pPr>
            <w:r>
              <w:rPr>
                <w:rFonts w:ascii="Aptos" w:hAnsi="Aptos"/>
                <w:b w:val="0"/>
                <w:i w:val="0"/>
                <w:color w:val="17242B"/>
                <w:sz w:val="20"/>
              </w:rPr>
              <w:t>The server presents digital identity information, and both machines create keys for protected communication. TLS helps the browser confirm that it reached the intended site. It also keeps the web traffic private and detects tampering.</w:t>
            </w:r>
          </w:p>
        </w:tc>
      </w:tr>
    </w:tbl>
    <w:p>
      <w:pPr>
        <w:spacing w:after="0"/>
      </w:pPr>
    </w:p>
    <w:tbl>
      <w:tblPr>
        <w:tblW w:type="auto" w:w="0"/>
        <w:jc w:val="center"/>
        <w:tblLook w:firstColumn="1" w:firstRow="1" w:lastColumn="0" w:lastRow="0" w:noHBand="0" w:noVBand="1" w:val="04A0"/>
      </w:tblPr>
      <w:tblGrid>
        <w:gridCol w:w="10166"/>
      </w:tblGrid>
      <w:tr>
        <w:trPr/>
        <w:tc>
          <w:tcPr>
            <w:tcW w:type="dxa" w:w="10166"/>
            <w:shd w:fill="F8F0D8"/>
            <w:tcMar>
              <w:top w:w="130" w:type="dxa"/>
              <w:start w:w="150" w:type="dxa"/>
              <w:bottom w:w="130" w:type="dxa"/>
              <w:end w:w="150" w:type="dxa"/>
            </w:tcMar>
            <w:tcBorders>
              <w:top w:val="single" w:sz="8" w:color="D6A936"/>
              <w:left w:val="single" w:sz="8" w:color="D6A936"/>
              <w:bottom w:val="single" w:sz="8" w:color="D6A936"/>
              <w:right w:val="single" w:sz="8" w:color="D6A936"/>
            </w:tcBorders>
          </w:tcPr>
          <w:p>
            <w:pPr>
              <w:keepLines/>
              <w:spacing w:after="100"/>
            </w:pPr>
            <w:r>
              <w:rPr>
                <w:rFonts w:ascii="Aptos" w:hAnsi="Aptos"/>
                <w:b/>
                <w:i w:val="0"/>
                <w:color w:val="D6A936"/>
                <w:sz w:val="23"/>
              </w:rPr>
              <w:t>Writing tension to preserve</w:t>
            </w:r>
          </w:p>
          <w:p>
            <w:pPr>
              <w:keepLines/>
              <w:spacing w:after="0"/>
            </w:pPr>
            <w:r>
              <w:rPr>
                <w:rFonts w:ascii="Aptos" w:hAnsi="Aptos"/>
                <w:b w:val="0"/>
                <w:i w:val="0"/>
                <w:color w:val="17242B"/>
                <w:sz w:val="21"/>
              </w:rPr>
              <w:t>The cards must teach enough for the learner to understand the process, but the language cannot directly announce where a card belongs. The sequence should emerge from relationships among the states, not from temporal words embedded in the prose.</w:t>
            </w:r>
          </w:p>
        </w:tc>
      </w:tr>
    </w:tbl>
    <w:p>
      <w:pPr>
        <w:spacing w:after="20"/>
      </w:pPr>
    </w:p>
    <w:p>
      <w:pPr>
        <w:pStyle w:val="Heading1"/>
        <w:keepNext/>
      </w:pPr>
      <w:r>
        <w:rPr>
          <w:rFonts w:ascii="Aptos" w:hAnsi="Aptos"/>
          <w:b/>
          <w:i w:val="0"/>
          <w:color w:val="10283B"/>
          <w:sz w:val="34"/>
        </w:rPr>
        <w:t>5. Background, glossary, and clues</w:t>
      </w:r>
    </w:p>
    <w:p>
      <w:pPr>
        <w:pStyle w:val="Heading2"/>
        <w:keepNext/>
      </w:pPr>
      <w:r>
        <w:rPr>
          <w:rFonts w:ascii="Aptos" w:hAnsi="Aptos"/>
          <w:b/>
          <w:i w:val="0"/>
          <w:color w:val="2E77A4"/>
          <w:sz w:val="26"/>
        </w:rPr>
        <w:t>Background overview</w:t>
      </w:r>
    </w:p>
    <w:p>
      <w:r>
        <w:rPr>
          <w:rFonts w:ascii="Aptos" w:hAnsi="Aptos"/>
          <w:b w:val="0"/>
          <w:i w:val="0"/>
          <w:sz w:val="21"/>
        </w:rPr>
        <w:t>The overview explains the overall problem, the major kinds of evidence or components involved, and what distinctions matter. It must not summarize the process in order.</w:t>
      </w:r>
    </w:p>
    <w:tbl>
      <w:tblPr>
        <w:tblW w:type="auto" w:w="0"/>
        <w:jc w:val="center"/>
        <w:tblLook w:firstColumn="1" w:firstRow="1" w:lastColumn="0" w:lastRow="0" w:noHBand="0" w:noVBand="1" w:val="04A0"/>
      </w:tblPr>
      <w:tblGrid>
        <w:gridCol w:w="10166"/>
      </w:tblGrid>
      <w:tr>
        <w:trPr/>
        <w:tc>
          <w:tcPr>
            <w:tcW w:type="dxa" w:w="10166"/>
            <w:shd w:fill="F8E7E7"/>
            <w:tcMar>
              <w:top w:w="130" w:type="dxa"/>
              <w:start w:w="150" w:type="dxa"/>
              <w:bottom w:w="130" w:type="dxa"/>
              <w:end w:w="150" w:type="dxa"/>
            </w:tcMar>
            <w:tcBorders>
              <w:top w:val="single" w:sz="8" w:color="B65353"/>
              <w:left w:val="single" w:sz="8" w:color="B65353"/>
              <w:bottom w:val="single" w:sz="8" w:color="B65353"/>
              <w:right w:val="single" w:sz="8" w:color="B65353"/>
            </w:tcBorders>
          </w:tcPr>
          <w:p>
            <w:pPr>
              <w:keepLines/>
              <w:spacing w:after="100"/>
            </w:pPr>
            <w:r>
              <w:rPr>
                <w:rFonts w:ascii="Aptos" w:hAnsi="Aptos"/>
                <w:b/>
                <w:i w:val="0"/>
                <w:color w:val="B65353"/>
                <w:sz w:val="23"/>
              </w:rPr>
              <w:t>Bad background</w:t>
            </w:r>
          </w:p>
          <w:p>
            <w:pPr>
              <w:keepLines/>
              <w:spacing w:after="0"/>
            </w:pPr>
            <w:r>
              <w:rPr>
                <w:rFonts w:ascii="Aptos" w:hAnsi="Aptos"/>
                <w:b w:val="0"/>
                <w:i w:val="0"/>
                <w:color w:val="17242B"/>
                <w:sz w:val="21"/>
              </w:rPr>
              <w:t>“The crisis moved through discovery, secret debate, public confrontation, military pressure, bargaining, renewed danger, and settlement.” This effectively lists the cards in sequence.</w:t>
            </w:r>
          </w:p>
        </w:tc>
      </w:tr>
    </w:tbl>
    <w:p>
      <w:pPr>
        <w:spacing w:after="20"/>
      </w:pPr>
    </w:p>
    <w:tbl>
      <w:tblPr>
        <w:tblW w:type="auto" w:w="0"/>
        <w:jc w:val="center"/>
        <w:tblLook w:firstColumn="1" w:firstRow="1" w:lastColumn="0" w:lastRow="0" w:noHBand="0" w:noVBand="1" w:val="04A0"/>
      </w:tblPr>
      <w:tblGrid>
        <w:gridCol w:w="10166"/>
      </w:tblGrid>
      <w:tr>
        <w:trPr/>
        <w:tc>
          <w:tcPr>
            <w:tcW w:type="dxa" w:w="10166"/>
            <w:shd w:fill="E7F4EB"/>
            <w:tcMar>
              <w:top w:w="130" w:type="dxa"/>
              <w:start w:w="150" w:type="dxa"/>
              <w:bottom w:w="130" w:type="dxa"/>
              <w:end w:w="150" w:type="dxa"/>
            </w:tcMar>
            <w:tcBorders>
              <w:top w:val="single" w:sz="8" w:color="4E9B68"/>
              <w:left w:val="single" w:sz="8" w:color="4E9B68"/>
              <w:bottom w:val="single" w:sz="8" w:color="4E9B68"/>
              <w:right w:val="single" w:sz="8" w:color="4E9B68"/>
            </w:tcBorders>
          </w:tcPr>
          <w:p>
            <w:pPr>
              <w:keepLines/>
              <w:spacing w:after="100"/>
            </w:pPr>
            <w:r>
              <w:rPr>
                <w:rFonts w:ascii="Aptos" w:hAnsi="Aptos"/>
                <w:b/>
                <w:i w:val="0"/>
                <w:color w:val="4E9B68"/>
                <w:sz w:val="23"/>
              </w:rPr>
              <w:t>Better background</w:t>
            </w:r>
          </w:p>
          <w:p>
            <w:pPr>
              <w:keepLines/>
              <w:spacing w:after="0"/>
            </w:pPr>
            <w:r>
              <w:rPr>
                <w:rFonts w:ascii="Aptos" w:hAnsi="Aptos"/>
                <w:b w:val="0"/>
                <w:i w:val="0"/>
                <w:color w:val="17242B"/>
                <w:sz w:val="21"/>
              </w:rPr>
              <w:t>“The Cuban Missile Crisis produced very different kinds of evidence: Soviet construction activity in Cuba, U.S. reconnaissance photographs, classified policy memoranda, a presidential broadcast, naval operations records, private messages from Nikita Khrushchev, and a public diplomatic agreement. The puzzle depends on determining which documents and actions rely on information contained in specific parts of that record.”</w:t>
            </w:r>
          </w:p>
        </w:tc>
      </w:tr>
    </w:tbl>
    <w:p>
      <w:pPr>
        <w:spacing w:after="20"/>
      </w:pPr>
    </w:p>
    <w:p>
      <w:pPr>
        <w:pStyle w:val="Heading2"/>
        <w:keepNext/>
      </w:pPr>
      <w:r>
        <w:rPr>
          <w:rFonts w:ascii="Aptos" w:hAnsi="Aptos"/>
          <w:b/>
          <w:i w:val="0"/>
          <w:color w:val="2E77A4"/>
          <w:sz w:val="26"/>
        </w:rPr>
        <w:t>Plain-language glossary</w:t>
      </w:r>
    </w:p>
    <w:p>
      <w:pPr>
        <w:pStyle w:val="ListBullet"/>
        <w:spacing w:after="60"/>
      </w:pPr>
      <w:r>
        <w:rPr>
          <w:rFonts w:ascii="Aptos" w:hAnsi="Aptos"/>
          <w:b w:val="0"/>
          <w:i w:val="0"/>
          <w:color w:val="17242B"/>
          <w:sz w:val="21"/>
        </w:rPr>
        <w:t>The glossary defines jargon that appears in the cards or clues.</w:t>
      </w:r>
    </w:p>
    <w:p>
      <w:pPr>
        <w:pStyle w:val="ListBullet"/>
        <w:spacing w:after="60"/>
      </w:pPr>
      <w:r>
        <w:rPr>
          <w:rFonts w:ascii="Aptos" w:hAnsi="Aptos"/>
          <w:b w:val="0"/>
          <w:i w:val="0"/>
          <w:color w:val="17242B"/>
          <w:sz w:val="21"/>
        </w:rPr>
        <w:t>Definitions should be compact and readable at approximately a high-school level.</w:t>
      </w:r>
    </w:p>
    <w:p>
      <w:pPr>
        <w:pStyle w:val="ListBullet"/>
        <w:spacing w:after="60"/>
      </w:pPr>
      <w:r>
        <w:rPr>
          <w:rFonts w:ascii="Aptos" w:hAnsi="Aptos"/>
          <w:b w:val="0"/>
          <w:i w:val="0"/>
          <w:color w:val="17242B"/>
          <w:sz w:val="21"/>
        </w:rPr>
        <w:t>The glossary should explain nouns and concepts, not narrate the order of operations.</w:t>
      </w:r>
    </w:p>
    <w:p>
      <w:pPr>
        <w:pStyle w:val="Heading2"/>
        <w:keepNext/>
      </w:pPr>
      <w:r>
        <w:rPr>
          <w:rFonts w:ascii="Aptos" w:hAnsi="Aptos"/>
          <w:b/>
          <w:i w:val="0"/>
          <w:color w:val="2E77A4"/>
          <w:sz w:val="26"/>
        </w:rPr>
        <w:t>Exactly three relational clues</w:t>
      </w:r>
    </w:p>
    <w:p>
      <w:r>
        <w:rPr>
          <w:rFonts w:ascii="Aptos" w:hAnsi="Aptos"/>
          <w:b w:val="0"/>
          <w:i w:val="0"/>
          <w:sz w:val="21"/>
        </w:rPr>
        <w:t>The clues should connect selected cards without reconstructing the entire sequence. They should rely more on dependency, shared material, or evidence flow than on dates.</w:t>
      </w:r>
    </w:p>
    <w:p>
      <w:pPr>
        <w:pStyle w:val="ListBullet"/>
        <w:spacing w:after="60"/>
      </w:pPr>
      <w:r>
        <w:rPr>
          <w:rFonts w:ascii="Aptos" w:hAnsi="Aptos"/>
          <w:b w:val="0"/>
          <w:i w:val="0"/>
          <w:color w:val="17242B"/>
          <w:sz w:val="21"/>
        </w:rPr>
        <w:t>Good clue: “The ExComm briefing packet contains enlarged U-2 photographs. The policy debate uses the reconnaissance evidence.”</w:t>
      </w:r>
    </w:p>
    <w:p>
      <w:pPr>
        <w:pStyle w:val="ListBullet"/>
        <w:spacing w:after="60"/>
      </w:pPr>
      <w:r>
        <w:rPr>
          <w:rFonts w:ascii="Aptos" w:hAnsi="Aptos"/>
          <w:b w:val="0"/>
          <w:i w:val="0"/>
          <w:color w:val="17242B"/>
          <w:sz w:val="21"/>
        </w:rPr>
        <w:t>Good clue: “The separation command is inhibited while booster chamber pressure remains above the cutoff limit, and orbital-engine ignition requires a confirmed separation signal.”</w:t>
      </w:r>
    </w:p>
    <w:p>
      <w:pPr>
        <w:pStyle w:val="ListBullet"/>
        <w:spacing w:after="60"/>
      </w:pPr>
      <w:r>
        <w:rPr>
          <w:rFonts w:ascii="Aptos" w:hAnsi="Aptos"/>
          <w:b w:val="0"/>
          <w:i w:val="0"/>
          <w:color w:val="17242B"/>
          <w:sz w:val="21"/>
        </w:rPr>
        <w:t>Good clue: “The captured-sales batch supplies the transactions in the clearing report, and the interbank transfer total matches the obligations calculated there.”</w:t>
      </w:r>
    </w:p>
    <w:p>
      <w:pPr>
        <w:pStyle w:val="ListBullet"/>
        <w:spacing w:after="60"/>
      </w:pPr>
      <w:r>
        <w:rPr>
          <w:rFonts w:ascii="Aptos" w:hAnsi="Aptos"/>
          <w:b w:val="0"/>
          <w:i w:val="0"/>
          <w:color w:val="17242B"/>
          <w:sz w:val="21"/>
        </w:rPr>
        <w:t>Avoid clues that merely say Event A happened on one date and Event B happened on a later date unless the historical record genuinely requires date interpretation.</w:t>
      </w:r>
    </w:p>
    <w:p>
      <w:pPr>
        <w:pStyle w:val="Heading1"/>
        <w:keepNext/>
      </w:pPr>
      <w:r>
        <w:rPr>
          <w:rFonts w:ascii="Aptos" w:hAnsi="Aptos"/>
          <w:b/>
          <w:i w:val="0"/>
          <w:color w:val="10283B"/>
          <w:sz w:val="34"/>
        </w:rPr>
        <w:t>6. Current ten-game collection</w:t>
      </w:r>
    </w:p>
    <w:tbl>
      <w:tblPr>
        <w:tblStyle w:val="TableGrid"/>
        <w:tblW w:type="auto" w:w="0"/>
        <w:jc w:val="center"/>
        <w:tblLayout w:type="fixed"/>
        <w:tblLook w:firstColumn="1" w:firstRow="1" w:lastColumn="0" w:lastRow="0" w:noHBand="0" w:noVBand="1" w:val="04A0"/>
      </w:tblPr>
      <w:tblGrid>
        <w:gridCol w:w="2088"/>
        <w:gridCol w:w="2880"/>
        <w:gridCol w:w="4680"/>
      </w:tblGrid>
      <w:tr>
        <w:trPr>
          <w:tblHeader w:val="true"/>
        </w:trPr>
        <w:tc>
          <w:tcPr>
            <w:tcW w:type="dxa" w:w="3389"/>
            <w:shd w:fill="10283B"/>
            <w:tcMar>
              <w:top w:w="90" w:type="dxa"/>
              <w:start w:w="110" w:type="dxa"/>
              <w:bottom w:w="90" w:type="dxa"/>
              <w:end w:w="110" w:type="dxa"/>
            </w:tcMar>
          </w:tcPr>
          <w:p>
            <w:pPr>
              <w:keepLines/>
            </w:pPr>
            <w:r>
              <w:rPr>
                <w:rFonts w:ascii="Aptos" w:hAnsi="Aptos"/>
                <w:b/>
                <w:color w:val="FFFFFF"/>
                <w:sz w:val="19"/>
              </w:rPr>
              <w:t>Discipline</w:t>
            </w:r>
          </w:p>
        </w:tc>
        <w:tc>
          <w:tcPr>
            <w:tcW w:type="dxa" w:w="3389"/>
            <w:shd w:fill="10283B"/>
            <w:tcMar>
              <w:top w:w="90" w:type="dxa"/>
              <w:start w:w="110" w:type="dxa"/>
              <w:bottom w:w="90" w:type="dxa"/>
              <w:end w:w="110" w:type="dxa"/>
            </w:tcMar>
          </w:tcPr>
          <w:p>
            <w:pPr>
              <w:keepLines/>
            </w:pPr>
            <w:r>
              <w:rPr>
                <w:rFonts w:ascii="Aptos" w:hAnsi="Aptos"/>
                <w:b/>
                <w:color w:val="FFFFFF"/>
                <w:sz w:val="19"/>
              </w:rPr>
              <w:t>Game</w:t>
            </w:r>
          </w:p>
        </w:tc>
        <w:tc>
          <w:tcPr>
            <w:tcW w:type="dxa" w:w="3389"/>
            <w:shd w:fill="10283B"/>
            <w:tcMar>
              <w:top w:w="90" w:type="dxa"/>
              <w:start w:w="110" w:type="dxa"/>
              <w:bottom w:w="90" w:type="dxa"/>
              <w:end w:w="110" w:type="dxa"/>
            </w:tcMar>
          </w:tcPr>
          <w:p>
            <w:pPr>
              <w:keepLines/>
            </w:pPr>
            <w:r>
              <w:rPr>
                <w:rFonts w:ascii="Aptos" w:hAnsi="Aptos"/>
                <w:b/>
                <w:color w:val="FFFFFF"/>
                <w:sz w:val="19"/>
              </w:rPr>
              <w:t>Educational process</w:t>
            </w:r>
          </w:p>
        </w:tc>
      </w:tr>
      <w:tr>
        <w:trPr/>
        <w:tc>
          <w:tcPr>
            <w:tcW w:type="dxa" w:w="2088"/>
            <w:tcMar>
              <w:top w:w="90" w:type="dxa"/>
              <w:start w:w="110" w:type="dxa"/>
              <w:bottom w:w="90" w:type="dxa"/>
              <w:end w:w="110" w:type="dxa"/>
            </w:tcMar>
          </w:tcPr>
          <w:p>
            <w:pPr>
              <w:keepLines/>
            </w:pPr>
            <w:r>
              <w:rPr>
                <w:rFonts w:ascii="Aptos" w:hAnsi="Aptos"/>
                <w:sz w:val="18"/>
              </w:rPr>
              <w:t>Medicine and biology</w:t>
            </w:r>
          </w:p>
        </w:tc>
        <w:tc>
          <w:tcPr>
            <w:tcW w:type="dxa" w:w="2880"/>
            <w:tcMar>
              <w:top w:w="90" w:type="dxa"/>
              <w:start w:w="110" w:type="dxa"/>
              <w:bottom w:w="90" w:type="dxa"/>
              <w:end w:w="110" w:type="dxa"/>
            </w:tcMar>
            <w:shd w:fill="DCEEF7"/>
          </w:tcPr>
          <w:p>
            <w:pPr>
              <w:keepLines/>
            </w:pPr>
            <w:r>
              <w:rPr>
                <w:rFonts w:ascii="Aptos" w:hAnsi="Aptos"/>
                <w:b/>
                <w:color w:val="2E77A4"/>
                <w:sz w:val="18"/>
              </w:rPr>
              <w:t>The Cut That Closes</w:t>
            </w:r>
          </w:p>
        </w:tc>
        <w:tc>
          <w:tcPr>
            <w:tcW w:type="dxa" w:w="4680"/>
            <w:tcMar>
              <w:top w:w="90" w:type="dxa"/>
              <w:start w:w="110" w:type="dxa"/>
              <w:bottom w:w="90" w:type="dxa"/>
              <w:end w:w="110" w:type="dxa"/>
            </w:tcMar>
          </w:tcPr>
          <w:p>
            <w:pPr>
              <w:keepLines/>
            </w:pPr>
            <w:r>
              <w:rPr>
                <w:rFonts w:ascii="Aptos" w:hAnsi="Aptos"/>
                <w:sz w:val="18"/>
              </w:rPr>
              <w:t>How the body controls bleeding, cleans a wound, rebuilds tissue, covers the surface, and strengthens a scar.</w:t>
            </w:r>
          </w:p>
        </w:tc>
      </w:tr>
      <w:tr>
        <w:trPr/>
        <w:tc>
          <w:tcPr>
            <w:tcW w:type="dxa" w:w="2088"/>
            <w:tcMar>
              <w:top w:w="90" w:type="dxa"/>
              <w:start w:w="110" w:type="dxa"/>
              <w:bottom w:w="90" w:type="dxa"/>
              <w:end w:w="110" w:type="dxa"/>
            </w:tcMar>
          </w:tcPr>
          <w:p>
            <w:pPr>
              <w:keepLines/>
            </w:pPr>
            <w:r>
              <w:rPr>
                <w:rFonts w:ascii="Aptos" w:hAnsi="Aptos"/>
                <w:sz w:val="18"/>
              </w:rPr>
              <w:t>Astronomy</w:t>
            </w:r>
          </w:p>
        </w:tc>
        <w:tc>
          <w:tcPr>
            <w:tcW w:type="dxa" w:w="2880"/>
            <w:tcMar>
              <w:top w:w="90" w:type="dxa"/>
              <w:start w:w="110" w:type="dxa"/>
              <w:bottom w:w="90" w:type="dxa"/>
              <w:end w:w="110" w:type="dxa"/>
            </w:tcMar>
            <w:shd w:fill="DCEEF7"/>
          </w:tcPr>
          <w:p>
            <w:pPr>
              <w:keepLines/>
            </w:pPr>
            <w:r>
              <w:rPr>
                <w:rFonts w:ascii="Aptos" w:hAnsi="Aptos"/>
                <w:b/>
                <w:color w:val="2E77A4"/>
                <w:sz w:val="18"/>
              </w:rPr>
              <w:t>A Star Like the Sun</w:t>
            </w:r>
          </w:p>
        </w:tc>
        <w:tc>
          <w:tcPr>
            <w:tcW w:type="dxa" w:w="4680"/>
            <w:tcMar>
              <w:top w:w="90" w:type="dxa"/>
              <w:start w:w="110" w:type="dxa"/>
              <w:bottom w:w="90" w:type="dxa"/>
              <w:end w:w="110" w:type="dxa"/>
            </w:tcMar>
          </w:tcPr>
          <w:p>
            <w:pPr>
              <w:keepLines/>
            </w:pPr>
            <w:r>
              <w:rPr>
                <w:rFonts w:ascii="Aptos" w:hAnsi="Aptos"/>
                <w:sz w:val="18"/>
              </w:rPr>
              <w:t>How gravity, nuclear fuel, core composition, envelope loss, and a compact remnant define stellar evolution.</w:t>
            </w:r>
          </w:p>
        </w:tc>
      </w:tr>
      <w:tr>
        <w:trPr/>
        <w:tc>
          <w:tcPr>
            <w:tcW w:type="dxa" w:w="2088"/>
            <w:tcMar>
              <w:top w:w="90" w:type="dxa"/>
              <w:start w:w="110" w:type="dxa"/>
              <w:bottom w:w="90" w:type="dxa"/>
              <w:end w:w="110" w:type="dxa"/>
            </w:tcMar>
          </w:tcPr>
          <w:p>
            <w:pPr>
              <w:keepLines/>
            </w:pPr>
            <w:r>
              <w:rPr>
                <w:rFonts w:ascii="Aptos" w:hAnsi="Aptos"/>
                <w:sz w:val="18"/>
              </w:rPr>
              <w:t>Computing</w:t>
            </w:r>
          </w:p>
        </w:tc>
        <w:tc>
          <w:tcPr>
            <w:tcW w:type="dxa" w:w="2880"/>
            <w:tcMar>
              <w:top w:w="90" w:type="dxa"/>
              <w:start w:w="110" w:type="dxa"/>
              <w:bottom w:w="90" w:type="dxa"/>
              <w:end w:w="110" w:type="dxa"/>
            </w:tcMar>
            <w:shd w:fill="DCEEF7"/>
          </w:tcPr>
          <w:p>
            <w:pPr>
              <w:keepLines/>
            </w:pPr>
            <w:r>
              <w:rPr>
                <w:rFonts w:ascii="Aptos" w:hAnsi="Aptos"/>
                <w:b/>
                <w:color w:val="2E77A4"/>
                <w:sz w:val="18"/>
              </w:rPr>
              <w:t>The First Visit to a Secure Website</w:t>
            </w:r>
          </w:p>
        </w:tc>
        <w:tc>
          <w:tcPr>
            <w:tcW w:type="dxa" w:w="4680"/>
            <w:tcMar>
              <w:top w:w="90" w:type="dxa"/>
              <w:start w:w="110" w:type="dxa"/>
              <w:bottom w:w="90" w:type="dxa"/>
              <w:end w:w="110" w:type="dxa"/>
            </w:tcMar>
          </w:tcPr>
          <w:p>
            <w:pPr>
              <w:keepLines/>
            </w:pPr>
            <w:r>
              <w:rPr>
                <w:rFonts w:ascii="Aptos" w:hAnsi="Aptos"/>
                <w:sz w:val="18"/>
              </w:rPr>
              <w:t>How a browser turns a typed address into secure network communication and a rendered page.</w:t>
            </w:r>
          </w:p>
        </w:tc>
      </w:tr>
      <w:tr>
        <w:trPr/>
        <w:tc>
          <w:tcPr>
            <w:tcW w:type="dxa" w:w="2088"/>
            <w:tcMar>
              <w:top w:w="90" w:type="dxa"/>
              <w:start w:w="110" w:type="dxa"/>
              <w:bottom w:w="90" w:type="dxa"/>
              <w:end w:w="110" w:type="dxa"/>
            </w:tcMar>
          </w:tcPr>
          <w:p>
            <w:pPr>
              <w:keepLines/>
            </w:pPr>
            <w:r>
              <w:rPr>
                <w:rFonts w:ascii="Aptos" w:hAnsi="Aptos"/>
                <w:sz w:val="18"/>
              </w:rPr>
              <w:t>Law and civics</w:t>
            </w:r>
          </w:p>
        </w:tc>
        <w:tc>
          <w:tcPr>
            <w:tcW w:type="dxa" w:w="2880"/>
            <w:tcMar>
              <w:top w:w="90" w:type="dxa"/>
              <w:start w:w="110" w:type="dxa"/>
              <w:bottom w:w="90" w:type="dxa"/>
              <w:end w:w="110" w:type="dxa"/>
            </w:tcMar>
            <w:shd w:fill="DCEEF7"/>
          </w:tcPr>
          <w:p>
            <w:pPr>
              <w:keepLines/>
            </w:pPr>
            <w:r>
              <w:rPr>
                <w:rFonts w:ascii="Aptos" w:hAnsi="Aptos"/>
                <w:b/>
                <w:color w:val="2E77A4"/>
                <w:sz w:val="18"/>
              </w:rPr>
              <w:t>A Federal Civil Case</w:t>
            </w:r>
          </w:p>
        </w:tc>
        <w:tc>
          <w:tcPr>
            <w:tcW w:type="dxa" w:w="4680"/>
            <w:tcMar>
              <w:top w:w="90" w:type="dxa"/>
              <w:start w:w="110" w:type="dxa"/>
              <w:bottom w:w="90" w:type="dxa"/>
              <w:end w:w="110" w:type="dxa"/>
            </w:tcMar>
          </w:tcPr>
          <w:p>
            <w:pPr>
              <w:keepLines/>
            </w:pPr>
            <w:r>
              <w:rPr>
                <w:rFonts w:ascii="Aptos" w:hAnsi="Aptos"/>
                <w:sz w:val="18"/>
              </w:rPr>
              <w:t>How allegations become a court record, evidence, a decision, and appellate review.</w:t>
            </w:r>
          </w:p>
        </w:tc>
      </w:tr>
      <w:tr>
        <w:trPr/>
        <w:tc>
          <w:tcPr>
            <w:tcW w:type="dxa" w:w="2088"/>
            <w:tcMar>
              <w:top w:w="90" w:type="dxa"/>
              <w:start w:w="110" w:type="dxa"/>
              <w:bottom w:w="90" w:type="dxa"/>
              <w:end w:w="110" w:type="dxa"/>
            </w:tcMar>
          </w:tcPr>
          <w:p>
            <w:pPr>
              <w:keepLines/>
            </w:pPr>
            <w:r>
              <w:rPr>
                <w:rFonts w:ascii="Aptos" w:hAnsi="Aptos"/>
                <w:sz w:val="18"/>
              </w:rPr>
              <w:t>History and diplomacy</w:t>
            </w:r>
          </w:p>
        </w:tc>
        <w:tc>
          <w:tcPr>
            <w:tcW w:type="dxa" w:w="2880"/>
            <w:tcMar>
              <w:top w:w="90" w:type="dxa"/>
              <w:start w:w="110" w:type="dxa"/>
              <w:bottom w:w="90" w:type="dxa"/>
              <w:end w:w="110" w:type="dxa"/>
            </w:tcMar>
            <w:shd w:fill="DCEEF7"/>
          </w:tcPr>
          <w:p>
            <w:pPr>
              <w:keepLines/>
            </w:pPr>
            <w:r>
              <w:rPr>
                <w:rFonts w:ascii="Aptos" w:hAnsi="Aptos"/>
                <w:b/>
                <w:color w:val="2E77A4"/>
                <w:sz w:val="18"/>
              </w:rPr>
              <w:t>Thirteen Days in October</w:t>
            </w:r>
          </w:p>
        </w:tc>
        <w:tc>
          <w:tcPr>
            <w:tcW w:type="dxa" w:w="4680"/>
            <w:tcMar>
              <w:top w:w="90" w:type="dxa"/>
              <w:start w:w="110" w:type="dxa"/>
              <w:bottom w:w="90" w:type="dxa"/>
              <w:end w:w="110" w:type="dxa"/>
            </w:tcMar>
          </w:tcPr>
          <w:p>
            <w:pPr>
              <w:keepLines/>
            </w:pPr>
            <w:r>
              <w:rPr>
                <w:rFonts w:ascii="Aptos" w:hAnsi="Aptos"/>
                <w:sz w:val="18"/>
              </w:rPr>
              <w:t>How intelligence, policy deliberation, public action, military pressure, and negotiation fit together in the Cuban Missile Crisis.</w:t>
            </w:r>
          </w:p>
        </w:tc>
      </w:tr>
      <w:tr>
        <w:trPr/>
        <w:tc>
          <w:tcPr>
            <w:tcW w:type="dxa" w:w="2088"/>
            <w:tcMar>
              <w:top w:w="90" w:type="dxa"/>
              <w:start w:w="110" w:type="dxa"/>
              <w:bottom w:w="90" w:type="dxa"/>
              <w:end w:w="110" w:type="dxa"/>
            </w:tcMar>
          </w:tcPr>
          <w:p>
            <w:pPr>
              <w:keepLines/>
            </w:pPr>
            <w:r>
              <w:rPr>
                <w:rFonts w:ascii="Aptos" w:hAnsi="Aptos"/>
                <w:sz w:val="18"/>
              </w:rPr>
              <w:t>Aerospace engineering</w:t>
            </w:r>
          </w:p>
        </w:tc>
        <w:tc>
          <w:tcPr>
            <w:tcW w:type="dxa" w:w="2880"/>
            <w:tcMar>
              <w:top w:w="90" w:type="dxa"/>
              <w:start w:w="110" w:type="dxa"/>
              <w:bottom w:w="90" w:type="dxa"/>
              <w:end w:w="110" w:type="dxa"/>
            </w:tcMar>
            <w:shd w:fill="DCEEF7"/>
          </w:tcPr>
          <w:p>
            <w:pPr>
              <w:keepLines/>
            </w:pPr>
            <w:r>
              <w:rPr>
                <w:rFonts w:ascii="Aptos" w:hAnsi="Aptos"/>
                <w:b/>
                <w:color w:val="2E77A4"/>
                <w:sz w:val="18"/>
              </w:rPr>
              <w:t>Two Stages to Orbit</w:t>
            </w:r>
          </w:p>
        </w:tc>
        <w:tc>
          <w:tcPr>
            <w:tcW w:type="dxa" w:w="4680"/>
            <w:tcMar>
              <w:top w:w="90" w:type="dxa"/>
              <w:start w:w="110" w:type="dxa"/>
              <w:bottom w:w="90" w:type="dxa"/>
              <w:end w:w="110" w:type="dxa"/>
            </w:tcMar>
          </w:tcPr>
          <w:p>
            <w:pPr>
              <w:keepLines/>
            </w:pPr>
            <w:r>
              <w:rPr>
                <w:rFonts w:ascii="Aptos" w:hAnsi="Aptos"/>
                <w:sz w:val="18"/>
              </w:rPr>
              <w:t>How engine status, aerodynamic load, staging, fairing release, guidance, and velocity shape a launch.</w:t>
            </w:r>
          </w:p>
        </w:tc>
      </w:tr>
      <w:tr>
        <w:trPr/>
        <w:tc>
          <w:tcPr>
            <w:tcW w:type="dxa" w:w="2088"/>
            <w:tcMar>
              <w:top w:w="90" w:type="dxa"/>
              <w:start w:w="110" w:type="dxa"/>
              <w:bottom w:w="90" w:type="dxa"/>
              <w:end w:w="110" w:type="dxa"/>
            </w:tcMar>
          </w:tcPr>
          <w:p>
            <w:pPr>
              <w:keepLines/>
            </w:pPr>
            <w:r>
              <w:rPr>
                <w:rFonts w:ascii="Aptos" w:hAnsi="Aptos"/>
                <w:sz w:val="18"/>
              </w:rPr>
              <w:t>Chemistry</w:t>
            </w:r>
          </w:p>
        </w:tc>
        <w:tc>
          <w:tcPr>
            <w:tcW w:type="dxa" w:w="2880"/>
            <w:tcMar>
              <w:top w:w="90" w:type="dxa"/>
              <w:start w:w="110" w:type="dxa"/>
              <w:bottom w:w="90" w:type="dxa"/>
              <w:end w:w="110" w:type="dxa"/>
            </w:tcMar>
            <w:shd w:fill="DCEEF7"/>
          </w:tcPr>
          <w:p>
            <w:pPr>
              <w:keepLines/>
            </w:pPr>
            <w:r>
              <w:rPr>
                <w:rFonts w:ascii="Aptos" w:hAnsi="Aptos"/>
                <w:b/>
                <w:color w:val="2E77A4"/>
                <w:sz w:val="18"/>
              </w:rPr>
              <w:t>How Soap Carries Grease Away</w:t>
            </w:r>
          </w:p>
        </w:tc>
        <w:tc>
          <w:tcPr>
            <w:tcW w:type="dxa" w:w="4680"/>
            <w:tcMar>
              <w:top w:w="90" w:type="dxa"/>
              <w:start w:w="110" w:type="dxa"/>
              <w:bottom w:w="90" w:type="dxa"/>
              <w:end w:w="110" w:type="dxa"/>
            </w:tcMar>
          </w:tcPr>
          <w:p>
            <w:pPr>
              <w:keepLines/>
            </w:pPr>
            <w:r>
              <w:rPr>
                <w:rFonts w:ascii="Aptos" w:hAnsi="Aptos"/>
                <w:sz w:val="18"/>
              </w:rPr>
              <w:t>How two-sided surfactant molecules, agitation, droplets, micelles, and flowing water remove grease.</w:t>
            </w:r>
          </w:p>
        </w:tc>
      </w:tr>
      <w:tr>
        <w:trPr/>
        <w:tc>
          <w:tcPr>
            <w:tcW w:type="dxa" w:w="2088"/>
            <w:tcMar>
              <w:top w:w="90" w:type="dxa"/>
              <w:start w:w="110" w:type="dxa"/>
              <w:bottom w:w="90" w:type="dxa"/>
              <w:end w:w="110" w:type="dxa"/>
            </w:tcMar>
          </w:tcPr>
          <w:p>
            <w:pPr>
              <w:keepLines/>
            </w:pPr>
            <w:r>
              <w:rPr>
                <w:rFonts w:ascii="Aptos" w:hAnsi="Aptos"/>
                <w:sz w:val="18"/>
              </w:rPr>
              <w:t>Ecology</w:t>
            </w:r>
          </w:p>
        </w:tc>
        <w:tc>
          <w:tcPr>
            <w:tcW w:type="dxa" w:w="2880"/>
            <w:tcMar>
              <w:top w:w="90" w:type="dxa"/>
              <w:start w:w="110" w:type="dxa"/>
              <w:bottom w:w="90" w:type="dxa"/>
              <w:end w:w="110" w:type="dxa"/>
            </w:tcMar>
            <w:shd w:fill="DCEEF7"/>
          </w:tcPr>
          <w:p>
            <w:pPr>
              <w:keepLines/>
            </w:pPr>
            <w:r>
              <w:rPr>
                <w:rFonts w:ascii="Aptos" w:hAnsi="Aptos"/>
                <w:b/>
                <w:color w:val="2E77A4"/>
                <w:sz w:val="18"/>
              </w:rPr>
              <w:t>From Fertilizer to a Dead Zone</w:t>
            </w:r>
          </w:p>
        </w:tc>
        <w:tc>
          <w:tcPr>
            <w:tcW w:type="dxa" w:w="4680"/>
            <w:tcMar>
              <w:top w:w="90" w:type="dxa"/>
              <w:start w:w="110" w:type="dxa"/>
              <w:bottom w:w="90" w:type="dxa"/>
              <w:end w:w="110" w:type="dxa"/>
            </w:tcMar>
          </w:tcPr>
          <w:p>
            <w:pPr>
              <w:keepLines/>
            </w:pPr>
            <w:r>
              <w:rPr>
                <w:rFonts w:ascii="Aptos" w:hAnsi="Aptos"/>
                <w:sz w:val="18"/>
              </w:rPr>
              <w:t>How nutrients, algal growth, shading, decomposition, oxygen demand, and animal stress are connected.</w:t>
            </w:r>
          </w:p>
        </w:tc>
      </w:tr>
      <w:tr>
        <w:trPr/>
        <w:tc>
          <w:tcPr>
            <w:tcW w:type="dxa" w:w="2088"/>
            <w:tcMar>
              <w:top w:w="90" w:type="dxa"/>
              <w:start w:w="110" w:type="dxa"/>
              <w:bottom w:w="90" w:type="dxa"/>
              <w:end w:w="110" w:type="dxa"/>
            </w:tcMar>
          </w:tcPr>
          <w:p>
            <w:pPr>
              <w:keepLines/>
            </w:pPr>
            <w:r>
              <w:rPr>
                <w:rFonts w:ascii="Aptos" w:hAnsi="Aptos"/>
                <w:sz w:val="18"/>
              </w:rPr>
              <w:t>Earth science</w:t>
            </w:r>
          </w:p>
        </w:tc>
        <w:tc>
          <w:tcPr>
            <w:tcW w:type="dxa" w:w="2880"/>
            <w:tcMar>
              <w:top w:w="90" w:type="dxa"/>
              <w:start w:w="110" w:type="dxa"/>
              <w:bottom w:w="90" w:type="dxa"/>
              <w:end w:w="110" w:type="dxa"/>
            </w:tcMar>
            <w:shd w:fill="DCEEF7"/>
          </w:tcPr>
          <w:p>
            <w:pPr>
              <w:keepLines/>
            </w:pPr>
            <w:r>
              <w:rPr>
                <w:rFonts w:ascii="Aptos" w:hAnsi="Aptos"/>
                <w:b/>
                <w:color w:val="2E77A4"/>
                <w:sz w:val="18"/>
              </w:rPr>
              <w:t>From Locked Fault to Coastal Flood</w:t>
            </w:r>
          </w:p>
        </w:tc>
        <w:tc>
          <w:tcPr>
            <w:tcW w:type="dxa" w:w="4680"/>
            <w:tcMar>
              <w:top w:w="90" w:type="dxa"/>
              <w:start w:w="110" w:type="dxa"/>
              <w:bottom w:w="90" w:type="dxa"/>
              <w:end w:w="110" w:type="dxa"/>
            </w:tcMar>
          </w:tcPr>
          <w:p>
            <w:pPr>
              <w:keepLines/>
            </w:pPr>
            <w:r>
              <w:rPr>
                <w:rFonts w:ascii="Aptos" w:hAnsi="Aptos"/>
                <w:sz w:val="18"/>
              </w:rPr>
              <w:t>How stored tectonic strain, seafloor motion, water displacement, wave propagation, and shoaling create a tsunami.</w:t>
            </w:r>
          </w:p>
        </w:tc>
      </w:tr>
      <w:tr>
        <w:trPr/>
        <w:tc>
          <w:tcPr>
            <w:tcW w:type="dxa" w:w="2088"/>
            <w:tcMar>
              <w:top w:w="90" w:type="dxa"/>
              <w:start w:w="110" w:type="dxa"/>
              <w:bottom w:w="90" w:type="dxa"/>
              <w:end w:w="110" w:type="dxa"/>
            </w:tcMar>
          </w:tcPr>
          <w:p>
            <w:pPr>
              <w:keepLines/>
            </w:pPr>
            <w:r>
              <w:rPr>
                <w:rFonts w:ascii="Aptos" w:hAnsi="Aptos"/>
                <w:sz w:val="18"/>
              </w:rPr>
              <w:t>Finance and payment systems</w:t>
            </w:r>
          </w:p>
        </w:tc>
        <w:tc>
          <w:tcPr>
            <w:tcW w:type="dxa" w:w="2880"/>
            <w:tcMar>
              <w:top w:w="90" w:type="dxa"/>
              <w:start w:w="110" w:type="dxa"/>
              <w:bottom w:w="90" w:type="dxa"/>
              <w:end w:w="110" w:type="dxa"/>
            </w:tcMar>
            <w:shd w:fill="DCEEF7"/>
          </w:tcPr>
          <w:p>
            <w:pPr>
              <w:keepLines/>
            </w:pPr>
            <w:r>
              <w:rPr>
                <w:rFonts w:ascii="Aptos" w:hAnsi="Aptos"/>
                <w:b/>
                <w:color w:val="2E77A4"/>
                <w:sz w:val="18"/>
              </w:rPr>
              <w:t>What Happens After You Tap</w:t>
            </w:r>
          </w:p>
        </w:tc>
        <w:tc>
          <w:tcPr>
            <w:tcW w:type="dxa" w:w="4680"/>
            <w:tcMar>
              <w:top w:w="90" w:type="dxa"/>
              <w:start w:w="110" w:type="dxa"/>
              <w:bottom w:w="90" w:type="dxa"/>
              <w:end w:w="110" w:type="dxa"/>
            </w:tcMar>
          </w:tcPr>
          <w:p>
            <w:pPr>
              <w:keepLines/>
            </w:pPr>
            <w:r>
              <w:rPr>
                <w:rFonts w:ascii="Aptos" w:hAnsi="Aptos"/>
                <w:sz w:val="18"/>
              </w:rPr>
              <w:t>How a card transaction moves through authorization, capture, clearing, settlement, and merchant funding.</w:t>
            </w:r>
          </w:p>
        </w:tc>
      </w:tr>
    </w:tbl>
    <w:p>
      <w:pPr>
        <w:pStyle w:val="Heading1"/>
        <w:keepNext/>
      </w:pPr>
      <w:r>
        <w:rPr>
          <w:rFonts w:ascii="Aptos" w:hAnsi="Aptos"/>
          <w:b/>
          <w:i w:val="0"/>
          <w:color w:val="10283B"/>
          <w:sz w:val="34"/>
        </w:rPr>
        <w:t>7. Detailed example: Cuban Missile Crisis case</w:t>
      </w:r>
    </w:p>
    <w:p>
      <w:pPr>
        <w:pStyle w:val="Heading2"/>
        <w:keepNext/>
      </w:pPr>
      <w:r>
        <w:rPr>
          <w:rFonts w:ascii="Aptos" w:hAnsi="Aptos"/>
          <w:b/>
          <w:i w:val="0"/>
          <w:color w:val="2E77A4"/>
          <w:sz w:val="26"/>
        </w:rPr>
        <w:t>Background shown to the learner</w:t>
      </w:r>
    </w:p>
    <w:p>
      <w:r>
        <w:rPr>
          <w:rFonts w:ascii="Aptos" w:hAnsi="Aptos"/>
          <w:b w:val="0"/>
          <w:i w:val="0"/>
          <w:sz w:val="21"/>
        </w:rPr>
        <w:t>The Cuban Missile Crisis produced very different kinds of evidence: Soviet construction activity in Cuba, U.S. reconnaissance photographs, classified policy memoranda, a presidential broadcast, naval operations records, private messages from Nikita Khrushchev, and a public diplomatic agreement. The puzzle depends on determining which documents and actions rely on information contained in specific parts of that record.</w:t>
      </w:r>
    </w:p>
    <w:p>
      <w:pPr>
        <w:pStyle w:val="Heading2"/>
        <w:keepNext/>
      </w:pPr>
      <w:r>
        <w:rPr>
          <w:rFonts w:ascii="Aptos" w:hAnsi="Aptos"/>
          <w:b/>
          <w:i w:val="0"/>
          <w:color w:val="2E77A4"/>
          <w:sz w:val="26"/>
        </w:rPr>
        <w:t>Glossary</w:t>
      </w:r>
    </w:p>
    <w:tbl>
      <w:tblPr>
        <w:tblStyle w:val="TableGrid"/>
        <w:tblW w:type="auto" w:w="0"/>
        <w:jc w:val="center"/>
        <w:tblLayout w:type="fixed"/>
        <w:tblLook w:firstColumn="1" w:firstRow="1" w:lastColumn="0" w:lastRow="0" w:noHBand="0" w:noVBand="1" w:val="04A0"/>
      </w:tblPr>
      <w:tblGrid>
        <w:gridCol w:w="2304"/>
        <w:gridCol w:w="7344"/>
      </w:tblGrid>
      <w:tr>
        <w:trPr/>
        <w:tc>
          <w:tcPr>
            <w:tcW w:type="dxa" w:w="2304"/>
            <w:shd w:fill="DCEEF7"/>
            <w:tcMar>
              <w:top w:w="90" w:type="dxa"/>
              <w:start w:w="110" w:type="dxa"/>
              <w:bottom w:w="90" w:type="dxa"/>
              <w:end w:w="110" w:type="dxa"/>
            </w:tcMar>
          </w:tcPr>
          <w:p>
            <w:pPr>
              <w:keepLines/>
            </w:pPr>
            <w:r>
              <w:rPr>
                <w:rFonts w:ascii="Aptos" w:hAnsi="Aptos"/>
                <w:b/>
                <w:color w:val="2E77A4"/>
                <w:sz w:val="19"/>
              </w:rPr>
              <w:t>U-2</w:t>
            </w:r>
          </w:p>
        </w:tc>
        <w:tc>
          <w:tcPr>
            <w:tcW w:type="dxa" w:w="7344"/>
            <w:tcMar>
              <w:top w:w="90" w:type="dxa"/>
              <w:start w:w="110" w:type="dxa"/>
              <w:bottom w:w="90" w:type="dxa"/>
              <w:end w:w="110" w:type="dxa"/>
            </w:tcMar>
          </w:tcPr>
          <w:p>
            <w:pPr>
              <w:keepLines/>
            </w:pPr>
            <w:r>
              <w:rPr>
                <w:rFonts w:ascii="Aptos" w:hAnsi="Aptos"/>
                <w:sz w:val="19"/>
              </w:rPr>
              <w:t>A high-altitude reconnaissance aircraft used to photograph missile sites.</w:t>
            </w:r>
          </w:p>
        </w:tc>
      </w:tr>
      <w:tr>
        <w:trPr/>
        <w:tc>
          <w:tcPr>
            <w:tcW w:type="dxa" w:w="2304"/>
            <w:shd w:fill="DCEEF7"/>
            <w:tcMar>
              <w:top w:w="90" w:type="dxa"/>
              <w:start w:w="110" w:type="dxa"/>
              <w:bottom w:w="90" w:type="dxa"/>
              <w:end w:w="110" w:type="dxa"/>
            </w:tcMar>
          </w:tcPr>
          <w:p>
            <w:pPr>
              <w:keepLines/>
            </w:pPr>
            <w:r>
              <w:rPr>
                <w:rFonts w:ascii="Aptos" w:hAnsi="Aptos"/>
                <w:b/>
                <w:color w:val="2E77A4"/>
                <w:sz w:val="19"/>
              </w:rPr>
              <w:t>ExComm</w:t>
            </w:r>
          </w:p>
        </w:tc>
        <w:tc>
          <w:tcPr>
            <w:tcW w:type="dxa" w:w="7344"/>
            <w:tcMar>
              <w:top w:w="90" w:type="dxa"/>
              <w:start w:w="110" w:type="dxa"/>
              <w:bottom w:w="90" w:type="dxa"/>
              <w:end w:w="110" w:type="dxa"/>
            </w:tcMar>
          </w:tcPr>
          <w:p>
            <w:pPr>
              <w:keepLines/>
            </w:pPr>
            <w:r>
              <w:rPr>
                <w:rFonts w:ascii="Aptos" w:hAnsi="Aptos"/>
                <w:sz w:val="19"/>
              </w:rPr>
              <w:t>Kennedy’s senior advisory group for debating responses to the crisis.</w:t>
            </w:r>
          </w:p>
        </w:tc>
      </w:tr>
      <w:tr>
        <w:trPr/>
        <w:tc>
          <w:tcPr>
            <w:tcW w:type="dxa" w:w="2304"/>
            <w:shd w:fill="DCEEF7"/>
            <w:tcMar>
              <w:top w:w="90" w:type="dxa"/>
              <w:start w:w="110" w:type="dxa"/>
              <w:bottom w:w="90" w:type="dxa"/>
              <w:end w:w="110" w:type="dxa"/>
            </w:tcMar>
          </w:tcPr>
          <w:p>
            <w:pPr>
              <w:keepLines/>
            </w:pPr>
            <w:r>
              <w:rPr>
                <w:rFonts w:ascii="Aptos" w:hAnsi="Aptos"/>
                <w:b/>
                <w:color w:val="2E77A4"/>
                <w:sz w:val="19"/>
              </w:rPr>
              <w:t>Quarantine</w:t>
            </w:r>
          </w:p>
        </w:tc>
        <w:tc>
          <w:tcPr>
            <w:tcW w:type="dxa" w:w="7344"/>
            <w:tcMar>
              <w:top w:w="90" w:type="dxa"/>
              <w:start w:w="110" w:type="dxa"/>
              <w:bottom w:w="90" w:type="dxa"/>
              <w:end w:w="110" w:type="dxa"/>
            </w:tcMar>
          </w:tcPr>
          <w:p>
            <w:pPr>
              <w:keepLines/>
            </w:pPr>
            <w:r>
              <w:rPr>
                <w:rFonts w:ascii="Aptos" w:hAnsi="Aptos"/>
                <w:sz w:val="19"/>
              </w:rPr>
              <w:t>The U.S. term for the limited naval interdiction around Cuba.</w:t>
            </w:r>
          </w:p>
        </w:tc>
      </w:tr>
      <w:tr>
        <w:trPr/>
        <w:tc>
          <w:tcPr>
            <w:tcW w:type="dxa" w:w="2304"/>
            <w:shd w:fill="DCEEF7"/>
            <w:tcMar>
              <w:top w:w="90" w:type="dxa"/>
              <w:start w:w="110" w:type="dxa"/>
              <w:bottom w:w="90" w:type="dxa"/>
              <w:end w:w="110" w:type="dxa"/>
            </w:tcMar>
          </w:tcPr>
          <w:p>
            <w:pPr>
              <w:keepLines/>
            </w:pPr>
            <w:r>
              <w:rPr>
                <w:rFonts w:ascii="Aptos" w:hAnsi="Aptos"/>
                <w:b/>
                <w:color w:val="2E77A4"/>
                <w:sz w:val="19"/>
              </w:rPr>
              <w:t>Jupiter missile</w:t>
            </w:r>
          </w:p>
        </w:tc>
        <w:tc>
          <w:tcPr>
            <w:tcW w:type="dxa" w:w="7344"/>
            <w:tcMar>
              <w:top w:w="90" w:type="dxa"/>
              <w:start w:w="110" w:type="dxa"/>
              <w:bottom w:w="90" w:type="dxa"/>
              <w:end w:w="110" w:type="dxa"/>
            </w:tcMar>
          </w:tcPr>
          <w:p>
            <w:pPr>
              <w:keepLines/>
            </w:pPr>
            <w:r>
              <w:rPr>
                <w:rFonts w:ascii="Aptos" w:hAnsi="Aptos"/>
                <w:sz w:val="19"/>
              </w:rPr>
              <w:t>A U.S. nuclear missile deployed in Turkey during the crisis.</w:t>
            </w:r>
          </w:p>
        </w:tc>
      </w:tr>
      <w:tr>
        <w:trPr/>
        <w:tc>
          <w:tcPr>
            <w:tcW w:type="dxa" w:w="2304"/>
            <w:shd w:fill="DCEEF7"/>
            <w:tcMar>
              <w:top w:w="90" w:type="dxa"/>
              <w:start w:w="110" w:type="dxa"/>
              <w:bottom w:w="90" w:type="dxa"/>
              <w:end w:w="110" w:type="dxa"/>
            </w:tcMar>
          </w:tcPr>
          <w:p>
            <w:pPr>
              <w:keepLines/>
            </w:pPr>
            <w:r>
              <w:rPr>
                <w:rFonts w:ascii="Aptos" w:hAnsi="Aptos"/>
                <w:b/>
                <w:color w:val="2E77A4"/>
                <w:sz w:val="19"/>
              </w:rPr>
              <w:t>Back channel</w:t>
            </w:r>
          </w:p>
        </w:tc>
        <w:tc>
          <w:tcPr>
            <w:tcW w:type="dxa" w:w="7344"/>
            <w:tcMar>
              <w:top w:w="90" w:type="dxa"/>
              <w:start w:w="110" w:type="dxa"/>
              <w:bottom w:w="90" w:type="dxa"/>
              <w:end w:w="110" w:type="dxa"/>
            </w:tcMar>
          </w:tcPr>
          <w:p>
            <w:pPr>
              <w:keepLines/>
            </w:pPr>
            <w:r>
              <w:rPr>
                <w:rFonts w:ascii="Aptos" w:hAnsi="Aptos"/>
                <w:sz w:val="19"/>
              </w:rPr>
              <w:t>Private communication outside the most visible public negotiations.</w:t>
            </w:r>
          </w:p>
        </w:tc>
      </w:tr>
      <w:tr>
        <w:trPr/>
        <w:tc>
          <w:tcPr>
            <w:tcW w:type="dxa" w:w="2304"/>
            <w:shd w:fill="DCEEF7"/>
            <w:tcMar>
              <w:top w:w="90" w:type="dxa"/>
              <w:start w:w="110" w:type="dxa"/>
              <w:bottom w:w="90" w:type="dxa"/>
              <w:end w:w="110" w:type="dxa"/>
            </w:tcMar>
          </w:tcPr>
          <w:p>
            <w:pPr>
              <w:keepLines/>
            </w:pPr>
            <w:r>
              <w:rPr>
                <w:rFonts w:ascii="Aptos" w:hAnsi="Aptos"/>
                <w:b/>
                <w:color w:val="2E77A4"/>
                <w:sz w:val="19"/>
              </w:rPr>
              <w:t>Non-invasion pledge</w:t>
            </w:r>
          </w:p>
        </w:tc>
        <w:tc>
          <w:tcPr>
            <w:tcW w:type="dxa" w:w="7344"/>
            <w:tcMar>
              <w:top w:w="90" w:type="dxa"/>
              <w:start w:w="110" w:type="dxa"/>
              <w:bottom w:w="90" w:type="dxa"/>
              <w:end w:w="110" w:type="dxa"/>
            </w:tcMar>
          </w:tcPr>
          <w:p>
            <w:pPr>
              <w:keepLines/>
            </w:pPr>
            <w:r>
              <w:rPr>
                <w:rFonts w:ascii="Aptos" w:hAnsi="Aptos"/>
                <w:sz w:val="19"/>
              </w:rPr>
              <w:t>The U.S. assurance that it would not invade Cuba.</w:t>
            </w:r>
          </w:p>
        </w:tc>
      </w:tr>
    </w:tbl>
    <w:p/>
    <w:p>
      <w:pPr>
        <w:pStyle w:val="Heading2"/>
        <w:keepNext/>
      </w:pPr>
      <w:r>
        <w:rPr>
          <w:rFonts w:ascii="Aptos" w:hAnsi="Aptos"/>
          <w:b/>
          <w:i w:val="0"/>
          <w:color w:val="2E77A4"/>
          <w:sz w:val="26"/>
        </w:rPr>
        <w:t>Three relational clues</w:t>
      </w:r>
    </w:p>
    <w:tbl>
      <w:tblPr>
        <w:tblW w:type="auto" w:w="0"/>
        <w:jc w:val="center"/>
        <w:tblLook w:firstColumn="1" w:firstRow="1" w:lastColumn="0" w:lastRow="0" w:noHBand="0" w:noVBand="1" w:val="04A0"/>
      </w:tblPr>
      <w:tblGrid>
        <w:gridCol w:w="10166"/>
      </w:tblGrid>
      <w:tr>
        <w:trPr/>
        <w:tc>
          <w:tcPr>
            <w:tcW w:type="dxa" w:w="10166"/>
            <w:shd w:fill="F7FAFB"/>
            <w:tcMar>
              <w:top w:w="130" w:type="dxa"/>
              <w:start w:w="150" w:type="dxa"/>
              <w:bottom w:w="130" w:type="dxa"/>
              <w:end w:w="150" w:type="dxa"/>
            </w:tcMar>
            <w:tcBorders>
              <w:top w:val="single" w:sz="8" w:color="7C98A8"/>
              <w:left w:val="single" w:sz="8" w:color="7C98A8"/>
              <w:bottom w:val="single" w:sz="8" w:color="7C98A8"/>
              <w:right w:val="single" w:sz="8" w:color="7C98A8"/>
            </w:tcBorders>
          </w:tcPr>
          <w:p>
            <w:pPr>
              <w:keepLines/>
              <w:spacing w:after="100"/>
            </w:pPr>
            <w:r>
              <w:rPr>
                <w:rFonts w:ascii="Aptos" w:hAnsi="Aptos"/>
                <w:b/>
                <w:i w:val="0"/>
                <w:color w:val="2E77A4"/>
                <w:sz w:val="23"/>
              </w:rPr>
              <w:t>Clue 1: Intelligence and deliberation</w:t>
            </w:r>
          </w:p>
          <w:p>
            <w:pPr>
              <w:keepLines/>
              <w:spacing w:after="0"/>
            </w:pPr>
            <w:r>
              <w:rPr>
                <w:rFonts w:ascii="Aptos" w:hAnsi="Aptos"/>
                <w:b w:val="0"/>
                <w:i w:val="0"/>
                <w:color w:val="17242B"/>
                <w:sz w:val="21"/>
              </w:rPr>
              <w:t>The ExComm briefing packet contains enlarged U-2 photographs and analysts’ labels identifying missile equipment. The policy debate uses the reconnaissance evidence.</w:t>
            </w:r>
          </w:p>
        </w:tc>
      </w:tr>
    </w:tbl>
    <w:p>
      <w:pPr>
        <w:spacing w:after="20"/>
      </w:pPr>
    </w:p>
    <w:tbl>
      <w:tblPr>
        <w:tblW w:type="auto" w:w="0"/>
        <w:jc w:val="center"/>
        <w:tblLook w:firstColumn="1" w:firstRow="1" w:lastColumn="0" w:lastRow="0" w:noHBand="0" w:noVBand="1" w:val="04A0"/>
      </w:tblPr>
      <w:tblGrid>
        <w:gridCol w:w="10166"/>
      </w:tblGrid>
      <w:tr>
        <w:trPr/>
        <w:tc>
          <w:tcPr>
            <w:tcW w:type="dxa" w:w="10166"/>
            <w:shd w:fill="F7FAFB"/>
            <w:tcMar>
              <w:top w:w="130" w:type="dxa"/>
              <w:start w:w="150" w:type="dxa"/>
              <w:bottom w:w="130" w:type="dxa"/>
              <w:end w:w="150" w:type="dxa"/>
            </w:tcMar>
            <w:tcBorders>
              <w:top w:val="single" w:sz="8" w:color="7C98A8"/>
              <w:left w:val="single" w:sz="8" w:color="7C98A8"/>
              <w:bottom w:val="single" w:sz="8" w:color="7C98A8"/>
              <w:right w:val="single" w:sz="8" w:color="7C98A8"/>
            </w:tcBorders>
          </w:tcPr>
          <w:p>
            <w:pPr>
              <w:keepLines/>
              <w:spacing w:after="100"/>
            </w:pPr>
            <w:r>
              <w:rPr>
                <w:rFonts w:ascii="Aptos" w:hAnsi="Aptos"/>
                <w:b/>
                <w:i w:val="0"/>
                <w:color w:val="2E77A4"/>
                <w:sz w:val="23"/>
              </w:rPr>
              <w:t>Clue 2: Announcement and enforcement</w:t>
            </w:r>
          </w:p>
          <w:p>
            <w:pPr>
              <w:keepLines/>
              <w:spacing w:after="0"/>
            </w:pPr>
            <w:r>
              <w:rPr>
                <w:rFonts w:ascii="Aptos" w:hAnsi="Aptos"/>
                <w:b w:val="0"/>
                <w:i w:val="0"/>
                <w:color w:val="17242B"/>
                <w:sz w:val="21"/>
              </w:rPr>
              <w:t>The naval operations log cites rules issued under the quarantine announced in Kennedy’s televised address. The ships are enforcing a policy described in the broadcast.</w:t>
            </w:r>
          </w:p>
        </w:tc>
      </w:tr>
    </w:tbl>
    <w:p>
      <w:pPr>
        <w:spacing w:after="20"/>
      </w:pPr>
    </w:p>
    <w:tbl>
      <w:tblPr>
        <w:tblW w:type="auto" w:w="0"/>
        <w:jc w:val="center"/>
        <w:tblLook w:firstColumn="1" w:firstRow="1" w:lastColumn="0" w:lastRow="0" w:noHBand="0" w:noVBand="1" w:val="04A0"/>
      </w:tblPr>
      <w:tblGrid>
        <w:gridCol w:w="10166"/>
      </w:tblGrid>
      <w:tr>
        <w:trPr/>
        <w:tc>
          <w:tcPr>
            <w:tcW w:type="dxa" w:w="10166"/>
            <w:shd w:fill="F7FAFB"/>
            <w:tcMar>
              <w:top w:w="130" w:type="dxa"/>
              <w:start w:w="150" w:type="dxa"/>
              <w:bottom w:w="130" w:type="dxa"/>
              <w:end w:w="150" w:type="dxa"/>
            </w:tcMar>
            <w:tcBorders>
              <w:top w:val="single" w:sz="8" w:color="7C98A8"/>
              <w:left w:val="single" w:sz="8" w:color="7C98A8"/>
              <w:bottom w:val="single" w:sz="8" w:color="7C98A8"/>
              <w:right w:val="single" w:sz="8" w:color="7C98A8"/>
            </w:tcBorders>
          </w:tcPr>
          <w:p>
            <w:pPr>
              <w:keepLines/>
              <w:spacing w:after="100"/>
            </w:pPr>
            <w:r>
              <w:rPr>
                <w:rFonts w:ascii="Aptos" w:hAnsi="Aptos"/>
                <w:b/>
                <w:i w:val="0"/>
                <w:color w:val="2E77A4"/>
                <w:sz w:val="23"/>
              </w:rPr>
              <w:t>Clue 3: Negotiating terms</w:t>
            </w:r>
          </w:p>
          <w:p>
            <w:pPr>
              <w:keepLines/>
              <w:spacing w:after="0"/>
            </w:pPr>
            <w:r>
              <w:rPr>
                <w:rFonts w:ascii="Aptos" w:hAnsi="Aptos"/>
                <w:b w:val="0"/>
                <w:i w:val="0"/>
                <w:color w:val="17242B"/>
                <w:sz w:val="21"/>
              </w:rPr>
              <w:t>The public agreement adopts the non-invasion formula offered in Khrushchev’s private proposal; negotiation notes place the Turkey-missile demand between that proposal and the agreement.</w:t>
            </w:r>
          </w:p>
        </w:tc>
      </w:tr>
    </w:tbl>
    <w:p>
      <w:pPr>
        <w:spacing w:after="20"/>
      </w:pPr>
    </w:p>
    <w:p>
      <w:pPr>
        <w:pStyle w:val="Heading2"/>
        <w:keepNext/>
      </w:pPr>
      <w:r>
        <w:rPr>
          <w:rFonts w:ascii="Aptos" w:hAnsi="Aptos"/>
          <w:b/>
          <w:i w:val="0"/>
          <w:color w:val="2E77A4"/>
          <w:sz w:val="26"/>
        </w:rPr>
        <w:t>Movable cards</w:t>
      </w:r>
    </w:p>
    <w:tbl>
      <w:tblPr>
        <w:tblW w:type="auto" w:w="0"/>
        <w:jc w:val="center"/>
        <w:tblLayout w:type="fixed"/>
        <w:tblLook w:firstColumn="1" w:firstRow="1" w:lastColumn="0" w:lastRow="0" w:noHBand="0" w:noVBand="1" w:val="04A0"/>
      </w:tblPr>
      <w:tblGrid>
        <w:gridCol w:w="720"/>
        <w:gridCol w:w="8784"/>
      </w:tblGrid>
      <w:tr>
        <w:trPr/>
        <w:tc>
          <w:tcPr>
            <w:tcW w:type="dxa" w:w="5083"/>
            <w:shd w:fill="10283B"/>
            <w:vAlign w:val="center"/>
          </w:tcPr>
          <w:p>
            <w:pPr>
              <w:keepLines/>
              <w:jc w:val="center"/>
            </w:pPr>
            <w:r>
              <w:rPr>
                <w:rFonts w:ascii="Aptos" w:hAnsi="Aptos"/>
                <w:b/>
                <w:i w:val="0"/>
                <w:color w:val="FFFFFF"/>
                <w:sz w:val="26"/>
              </w:rPr>
              <w:t>1</w:t>
            </w:r>
          </w:p>
        </w:tc>
        <w:tc>
          <w:tcPr>
            <w:tcW w:type="dxa" w:w="5083"/>
            <w:shd w:fill="F7FAFB"/>
            <w:tcMar>
              <w:top w:w="110" w:type="dxa"/>
              <w:start w:w="130" w:type="dxa"/>
              <w:bottom w:w="110" w:type="dxa"/>
              <w:end w:w="130" w:type="dxa"/>
            </w:tcMar>
          </w:tcPr>
          <w:p>
            <w:pPr>
              <w:keepLines/>
              <w:spacing w:after="100"/>
            </w:pPr>
            <w:r>
              <w:rPr>
                <w:rFonts w:ascii="Aptos" w:hAnsi="Aptos"/>
                <w:b/>
                <w:i w:val="0"/>
                <w:color w:val="10283B"/>
                <w:sz w:val="23"/>
              </w:rPr>
              <w:t>Soviet missiles are secretly placed in Cuba</w:t>
            </w:r>
          </w:p>
          <w:p>
            <w:pPr>
              <w:keepLines/>
              <w:spacing w:after="0"/>
            </w:pPr>
            <w:r>
              <w:rPr>
                <w:rFonts w:ascii="Aptos" w:hAnsi="Aptos"/>
                <w:b w:val="0"/>
                <w:i w:val="0"/>
                <w:color w:val="17242B"/>
                <w:sz w:val="20"/>
              </w:rPr>
              <w:t>Soviet crews build launch sites and bring missiles, support equipment, air defenses, and personnel onto the island. The operation is concealed so that the sites can approach readiness without provoking a U.S. response.</w:t>
            </w:r>
          </w:p>
        </w:tc>
      </w:tr>
    </w:tbl>
    <w:p>
      <w:pPr>
        <w:spacing w:after="0"/>
      </w:pPr>
    </w:p>
    <w:tbl>
      <w:tblPr>
        <w:tblW w:type="auto" w:w="0"/>
        <w:jc w:val="center"/>
        <w:tblLayout w:type="fixed"/>
        <w:tblLook w:firstColumn="1" w:firstRow="1" w:lastColumn="0" w:lastRow="0" w:noHBand="0" w:noVBand="1" w:val="04A0"/>
      </w:tblPr>
      <w:tblGrid>
        <w:gridCol w:w="720"/>
        <w:gridCol w:w="8784"/>
      </w:tblGrid>
      <w:tr>
        <w:trPr/>
        <w:tc>
          <w:tcPr>
            <w:tcW w:type="dxa" w:w="5083"/>
            <w:shd w:fill="10283B"/>
            <w:vAlign w:val="center"/>
          </w:tcPr>
          <w:p>
            <w:pPr>
              <w:keepLines/>
              <w:jc w:val="center"/>
            </w:pPr>
            <w:r>
              <w:rPr>
                <w:rFonts w:ascii="Aptos" w:hAnsi="Aptos"/>
                <w:b/>
                <w:i w:val="0"/>
                <w:color w:val="FFFFFF"/>
                <w:sz w:val="26"/>
              </w:rPr>
              <w:t>2</w:t>
            </w:r>
          </w:p>
        </w:tc>
        <w:tc>
          <w:tcPr>
            <w:tcW w:type="dxa" w:w="5083"/>
            <w:shd w:fill="F7FAFB"/>
            <w:tcMar>
              <w:top w:w="110" w:type="dxa"/>
              <w:start w:w="130" w:type="dxa"/>
              <w:bottom w:w="110" w:type="dxa"/>
              <w:end w:w="130" w:type="dxa"/>
            </w:tcMar>
          </w:tcPr>
          <w:p>
            <w:pPr>
              <w:keepLines/>
              <w:spacing w:after="100"/>
            </w:pPr>
            <w:r>
              <w:rPr>
                <w:rFonts w:ascii="Aptos" w:hAnsi="Aptos"/>
                <w:b/>
                <w:i w:val="0"/>
                <w:color w:val="10283B"/>
                <w:sz w:val="23"/>
              </w:rPr>
              <w:t>A U.S. spy plane photographs the missile sites</w:t>
            </w:r>
          </w:p>
          <w:p>
            <w:pPr>
              <w:keepLines/>
              <w:spacing w:after="0"/>
            </w:pPr>
            <w:r>
              <w:rPr>
                <w:rFonts w:ascii="Aptos" w:hAnsi="Aptos"/>
                <w:b w:val="0"/>
                <w:i w:val="0"/>
                <w:color w:val="17242B"/>
                <w:sz w:val="20"/>
              </w:rPr>
              <w:t>High-altitude images show launch-site layouts, long missile equipment, vehicles, tents, and construction activity. The aircraft is a U-2 reconnaissance plane. Analysts compare shapes and arrangements in the images with known Soviet missile systems.</w:t>
            </w:r>
          </w:p>
        </w:tc>
      </w:tr>
    </w:tbl>
    <w:p>
      <w:pPr>
        <w:spacing w:after="0"/>
      </w:pPr>
    </w:p>
    <w:tbl>
      <w:tblPr>
        <w:tblW w:type="auto" w:w="0"/>
        <w:jc w:val="center"/>
        <w:tblLayout w:type="fixed"/>
        <w:tblLook w:firstColumn="1" w:firstRow="1" w:lastColumn="0" w:lastRow="0" w:noHBand="0" w:noVBand="1" w:val="04A0"/>
      </w:tblPr>
      <w:tblGrid>
        <w:gridCol w:w="720"/>
        <w:gridCol w:w="8784"/>
      </w:tblGrid>
      <w:tr>
        <w:trPr/>
        <w:tc>
          <w:tcPr>
            <w:tcW w:type="dxa" w:w="5083"/>
            <w:shd w:fill="10283B"/>
            <w:vAlign w:val="center"/>
          </w:tcPr>
          <w:p>
            <w:pPr>
              <w:keepLines/>
              <w:jc w:val="center"/>
            </w:pPr>
            <w:r>
              <w:rPr>
                <w:rFonts w:ascii="Aptos" w:hAnsi="Aptos"/>
                <w:b/>
                <w:i w:val="0"/>
                <w:color w:val="FFFFFF"/>
                <w:sz w:val="26"/>
              </w:rPr>
              <w:t>3</w:t>
            </w:r>
          </w:p>
        </w:tc>
        <w:tc>
          <w:tcPr>
            <w:tcW w:type="dxa" w:w="5083"/>
            <w:shd w:fill="F7FAFB"/>
            <w:tcMar>
              <w:top w:w="110" w:type="dxa"/>
              <w:start w:w="130" w:type="dxa"/>
              <w:bottom w:w="110" w:type="dxa"/>
              <w:end w:w="130" w:type="dxa"/>
            </w:tcMar>
          </w:tcPr>
          <w:p>
            <w:pPr>
              <w:keepLines/>
              <w:spacing w:after="100"/>
            </w:pPr>
            <w:r>
              <w:rPr>
                <w:rFonts w:ascii="Aptos" w:hAnsi="Aptos"/>
                <w:b/>
                <w:i w:val="0"/>
                <w:color w:val="10283B"/>
                <w:sz w:val="23"/>
              </w:rPr>
              <w:t>Kennedy’s advisers debate possible responses</w:t>
            </w:r>
          </w:p>
          <w:p>
            <w:pPr>
              <w:keepLines/>
              <w:spacing w:after="0"/>
            </w:pPr>
            <w:r>
              <w:rPr>
                <w:rFonts w:ascii="Aptos" w:hAnsi="Aptos"/>
                <w:b w:val="0"/>
                <w:i w:val="0"/>
                <w:color w:val="17242B"/>
                <w:sz w:val="20"/>
              </w:rPr>
              <w:t>The president and a senior group study the photographs and consider air strikes, invasion, diplomacy, and a naval quarantine. This group is called ExComm. Its members weigh missile removal against Soviet retaliation and the risk of nuclear war.</w:t>
            </w:r>
          </w:p>
        </w:tc>
      </w:tr>
    </w:tbl>
    <w:p>
      <w:pPr>
        <w:spacing w:after="0"/>
      </w:pPr>
    </w:p>
    <w:tbl>
      <w:tblPr>
        <w:tblW w:type="auto" w:w="0"/>
        <w:jc w:val="center"/>
        <w:tblLayout w:type="fixed"/>
        <w:tblLook w:firstColumn="1" w:firstRow="1" w:lastColumn="0" w:lastRow="0" w:noHBand="0" w:noVBand="1" w:val="04A0"/>
      </w:tblPr>
      <w:tblGrid>
        <w:gridCol w:w="720"/>
        <w:gridCol w:w="8784"/>
      </w:tblGrid>
      <w:tr>
        <w:trPr/>
        <w:tc>
          <w:tcPr>
            <w:tcW w:type="dxa" w:w="5083"/>
            <w:shd w:fill="10283B"/>
            <w:vAlign w:val="center"/>
          </w:tcPr>
          <w:p>
            <w:pPr>
              <w:keepLines/>
              <w:jc w:val="center"/>
            </w:pPr>
            <w:r>
              <w:rPr>
                <w:rFonts w:ascii="Aptos" w:hAnsi="Aptos"/>
                <w:b/>
                <w:i w:val="0"/>
                <w:color w:val="FFFFFF"/>
                <w:sz w:val="26"/>
              </w:rPr>
              <w:t>4</w:t>
            </w:r>
          </w:p>
        </w:tc>
        <w:tc>
          <w:tcPr>
            <w:tcW w:type="dxa" w:w="5083"/>
            <w:shd w:fill="F7FAFB"/>
            <w:tcMar>
              <w:top w:w="110" w:type="dxa"/>
              <w:start w:w="130" w:type="dxa"/>
              <w:bottom w:w="110" w:type="dxa"/>
              <w:end w:w="130" w:type="dxa"/>
            </w:tcMar>
          </w:tcPr>
          <w:p>
            <w:pPr>
              <w:keepLines/>
              <w:spacing w:after="100"/>
            </w:pPr>
            <w:r>
              <w:rPr>
                <w:rFonts w:ascii="Aptos" w:hAnsi="Aptos"/>
                <w:b/>
                <w:i w:val="0"/>
                <w:color w:val="10283B"/>
                <w:sz w:val="23"/>
              </w:rPr>
              <w:t>Kennedy announces the missiles and a naval quarantine</w:t>
            </w:r>
          </w:p>
          <w:p>
            <w:pPr>
              <w:keepLines/>
              <w:spacing w:after="0"/>
            </w:pPr>
            <w:r>
              <w:rPr>
                <w:rFonts w:ascii="Aptos" w:hAnsi="Aptos"/>
                <w:b w:val="0"/>
                <w:i w:val="0"/>
                <w:color w:val="17242B"/>
                <w:sz w:val="20"/>
              </w:rPr>
              <w:t>In a televised address, the president tells the public that offensive missiles are in Cuba and describes a naval effort to block military deliveries. The word quarantine is used for the limited naval interdiction. Kennedy also warns against a missile launch from Cuba.</w:t>
            </w:r>
          </w:p>
        </w:tc>
      </w:tr>
    </w:tbl>
    <w:p>
      <w:pPr>
        <w:spacing w:after="0"/>
      </w:pPr>
    </w:p>
    <w:tbl>
      <w:tblPr>
        <w:tblW w:type="auto" w:w="0"/>
        <w:jc w:val="center"/>
        <w:tblLayout w:type="fixed"/>
        <w:tblLook w:firstColumn="1" w:firstRow="1" w:lastColumn="0" w:lastRow="0" w:noHBand="0" w:noVBand="1" w:val="04A0"/>
      </w:tblPr>
      <w:tblGrid>
        <w:gridCol w:w="720"/>
        <w:gridCol w:w="8784"/>
      </w:tblGrid>
      <w:tr>
        <w:trPr/>
        <w:tc>
          <w:tcPr>
            <w:tcW w:type="dxa" w:w="5083"/>
            <w:shd w:fill="10283B"/>
            <w:vAlign w:val="center"/>
          </w:tcPr>
          <w:p>
            <w:pPr>
              <w:keepLines/>
              <w:jc w:val="center"/>
            </w:pPr>
            <w:r>
              <w:rPr>
                <w:rFonts w:ascii="Aptos" w:hAnsi="Aptos"/>
                <w:b/>
                <w:i w:val="0"/>
                <w:color w:val="FFFFFF"/>
                <w:sz w:val="26"/>
              </w:rPr>
              <w:t>5</w:t>
            </w:r>
          </w:p>
        </w:tc>
        <w:tc>
          <w:tcPr>
            <w:tcW w:type="dxa" w:w="5083"/>
            <w:shd w:fill="F7FAFB"/>
            <w:tcMar>
              <w:top w:w="110" w:type="dxa"/>
              <w:start w:w="130" w:type="dxa"/>
              <w:bottom w:w="110" w:type="dxa"/>
              <w:end w:w="130" w:type="dxa"/>
            </w:tcMar>
          </w:tcPr>
          <w:p>
            <w:pPr>
              <w:keepLines/>
              <w:spacing w:after="100"/>
            </w:pPr>
            <w:r>
              <w:rPr>
                <w:rFonts w:ascii="Aptos" w:hAnsi="Aptos"/>
                <w:b/>
                <w:i w:val="0"/>
                <w:color w:val="10283B"/>
                <w:sz w:val="23"/>
              </w:rPr>
              <w:t>U.S. ships enforce the quarantine at sea</w:t>
            </w:r>
          </w:p>
          <w:p>
            <w:pPr>
              <w:keepLines/>
              <w:spacing w:after="0"/>
            </w:pPr>
            <w:r>
              <w:rPr>
                <w:rFonts w:ascii="Aptos" w:hAnsi="Aptos"/>
                <w:b w:val="0"/>
                <w:i w:val="0"/>
                <w:color w:val="17242B"/>
                <w:sz w:val="20"/>
              </w:rPr>
              <w:t>Naval forces establish an interception line and prepare to stop prohibited military cargo while Soviet vessels approach. Some Soviet ships change course or halt. The confrontation tests whether the announced policy will produce a direct clash.</w:t>
            </w:r>
          </w:p>
        </w:tc>
      </w:tr>
    </w:tbl>
    <w:p>
      <w:pPr>
        <w:spacing w:after="0"/>
      </w:pPr>
    </w:p>
    <w:tbl>
      <w:tblPr>
        <w:tblW w:type="auto" w:w="0"/>
        <w:jc w:val="center"/>
        <w:tblLayout w:type="fixed"/>
        <w:tblLook w:firstColumn="1" w:firstRow="1" w:lastColumn="0" w:lastRow="0" w:noHBand="0" w:noVBand="1" w:val="04A0"/>
      </w:tblPr>
      <w:tblGrid>
        <w:gridCol w:w="720"/>
        <w:gridCol w:w="8784"/>
      </w:tblGrid>
      <w:tr>
        <w:trPr/>
        <w:tc>
          <w:tcPr>
            <w:tcW w:type="dxa" w:w="5083"/>
            <w:shd w:fill="10283B"/>
            <w:vAlign w:val="center"/>
          </w:tcPr>
          <w:p>
            <w:pPr>
              <w:keepLines/>
              <w:jc w:val="center"/>
            </w:pPr>
            <w:r>
              <w:rPr>
                <w:rFonts w:ascii="Aptos" w:hAnsi="Aptos"/>
                <w:b/>
                <w:i w:val="0"/>
                <w:color w:val="FFFFFF"/>
                <w:sz w:val="26"/>
              </w:rPr>
              <w:t>6</w:t>
            </w:r>
          </w:p>
        </w:tc>
        <w:tc>
          <w:tcPr>
            <w:tcW w:type="dxa" w:w="5083"/>
            <w:shd w:fill="F7FAFB"/>
            <w:tcMar>
              <w:top w:w="110" w:type="dxa"/>
              <w:start w:w="130" w:type="dxa"/>
              <w:bottom w:w="110" w:type="dxa"/>
              <w:end w:w="130" w:type="dxa"/>
            </w:tcMar>
          </w:tcPr>
          <w:p>
            <w:pPr>
              <w:keepLines/>
              <w:spacing w:after="100"/>
            </w:pPr>
            <w:r>
              <w:rPr>
                <w:rFonts w:ascii="Aptos" w:hAnsi="Aptos"/>
                <w:b/>
                <w:i w:val="0"/>
                <w:color w:val="10283B"/>
                <w:sz w:val="23"/>
              </w:rPr>
              <w:t>Khrushchev offers a bargain for removing the missiles</w:t>
            </w:r>
          </w:p>
          <w:p>
            <w:pPr>
              <w:keepLines/>
              <w:spacing w:after="0"/>
            </w:pPr>
            <w:r>
              <w:rPr>
                <w:rFonts w:ascii="Aptos" w:hAnsi="Aptos"/>
                <w:b w:val="0"/>
                <w:i w:val="0"/>
                <w:color w:val="17242B"/>
                <w:sz w:val="20"/>
              </w:rPr>
              <w:t>A private message proposes taking the missiles out of Cuba in exchange for a U.S. promise not to invade the island. The message offers both governments a way to reduce danger without requiring an immediate public surrender.</w:t>
            </w:r>
          </w:p>
        </w:tc>
      </w:tr>
    </w:tbl>
    <w:p>
      <w:pPr>
        <w:spacing w:after="0"/>
      </w:pPr>
    </w:p>
    <w:tbl>
      <w:tblPr>
        <w:tblW w:type="auto" w:w="0"/>
        <w:jc w:val="center"/>
        <w:tblLayout w:type="fixed"/>
        <w:tblLook w:firstColumn="1" w:firstRow="1" w:lastColumn="0" w:lastRow="0" w:noHBand="0" w:noVBand="1" w:val="04A0"/>
      </w:tblPr>
      <w:tblGrid>
        <w:gridCol w:w="720"/>
        <w:gridCol w:w="8784"/>
      </w:tblGrid>
      <w:tr>
        <w:trPr/>
        <w:tc>
          <w:tcPr>
            <w:tcW w:type="dxa" w:w="5083"/>
            <w:shd w:fill="10283B"/>
            <w:vAlign w:val="center"/>
          </w:tcPr>
          <w:p>
            <w:pPr>
              <w:keepLines/>
              <w:jc w:val="center"/>
            </w:pPr>
            <w:r>
              <w:rPr>
                <w:rFonts w:ascii="Aptos" w:hAnsi="Aptos"/>
                <w:b/>
                <w:i w:val="0"/>
                <w:color w:val="FFFFFF"/>
                <w:sz w:val="26"/>
              </w:rPr>
              <w:t>7</w:t>
            </w:r>
          </w:p>
        </w:tc>
        <w:tc>
          <w:tcPr>
            <w:tcW w:type="dxa" w:w="5083"/>
            <w:shd w:fill="F7FAFB"/>
            <w:tcMar>
              <w:top w:w="110" w:type="dxa"/>
              <w:start w:w="130" w:type="dxa"/>
              <w:bottom w:w="110" w:type="dxa"/>
              <w:end w:w="130" w:type="dxa"/>
            </w:tcMar>
          </w:tcPr>
          <w:p>
            <w:pPr>
              <w:keepLines/>
              <w:spacing w:after="100"/>
            </w:pPr>
            <w:r>
              <w:rPr>
                <w:rFonts w:ascii="Aptos" w:hAnsi="Aptos"/>
                <w:b/>
                <w:i w:val="0"/>
                <w:color w:val="10283B"/>
                <w:sz w:val="23"/>
              </w:rPr>
              <w:t>The crisis becomes more dangerous and Turkey enters the bargain</w:t>
            </w:r>
          </w:p>
          <w:p>
            <w:pPr>
              <w:keepLines/>
              <w:spacing w:after="0"/>
            </w:pPr>
            <w:r>
              <w:rPr>
                <w:rFonts w:ascii="Aptos" w:hAnsi="Aptos"/>
                <w:b w:val="0"/>
                <w:i w:val="0"/>
                <w:color w:val="17242B"/>
                <w:sz w:val="20"/>
              </w:rPr>
              <w:t>A U-2 is shot down over Cuba, and a Soviet message connects a settlement with U.S. Jupiter missiles stationed in Turkey. The loss of the aircraft raises pressure for military retaliation, while the Turkey issue makes the diplomatic bargain more complicated.</w:t>
            </w:r>
          </w:p>
        </w:tc>
      </w:tr>
    </w:tbl>
    <w:p>
      <w:pPr>
        <w:spacing w:after="0"/>
      </w:pPr>
    </w:p>
    <w:tbl>
      <w:tblPr>
        <w:tblW w:type="auto" w:w="0"/>
        <w:jc w:val="center"/>
        <w:tblLayout w:type="fixed"/>
        <w:tblLook w:firstColumn="1" w:firstRow="1" w:lastColumn="0" w:lastRow="0" w:noHBand="0" w:noVBand="1" w:val="04A0"/>
      </w:tblPr>
      <w:tblGrid>
        <w:gridCol w:w="720"/>
        <w:gridCol w:w="8784"/>
      </w:tblGrid>
      <w:tr>
        <w:trPr/>
        <w:tc>
          <w:tcPr>
            <w:tcW w:type="dxa" w:w="5083"/>
            <w:shd w:fill="10283B"/>
            <w:vAlign w:val="center"/>
          </w:tcPr>
          <w:p>
            <w:pPr>
              <w:keepLines/>
              <w:jc w:val="center"/>
            </w:pPr>
            <w:r>
              <w:rPr>
                <w:rFonts w:ascii="Aptos" w:hAnsi="Aptos"/>
                <w:b/>
                <w:i w:val="0"/>
                <w:color w:val="FFFFFF"/>
                <w:sz w:val="26"/>
              </w:rPr>
              <w:t>8</w:t>
            </w:r>
          </w:p>
        </w:tc>
        <w:tc>
          <w:tcPr>
            <w:tcW w:type="dxa" w:w="5083"/>
            <w:shd w:fill="F7FAFB"/>
            <w:tcMar>
              <w:top w:w="110" w:type="dxa"/>
              <w:start w:w="130" w:type="dxa"/>
              <w:bottom w:w="110" w:type="dxa"/>
              <w:end w:w="130" w:type="dxa"/>
            </w:tcMar>
          </w:tcPr>
          <w:p>
            <w:pPr>
              <w:keepLines/>
              <w:spacing w:after="100"/>
            </w:pPr>
            <w:r>
              <w:rPr>
                <w:rFonts w:ascii="Aptos" w:hAnsi="Aptos"/>
                <w:b/>
                <w:i w:val="0"/>
                <w:color w:val="10283B"/>
                <w:sz w:val="23"/>
              </w:rPr>
              <w:t>Both governments accept terms that remove the missiles</w:t>
            </w:r>
          </w:p>
          <w:p>
            <w:pPr>
              <w:keepLines/>
              <w:spacing w:after="0"/>
            </w:pPr>
            <w:r>
              <w:rPr>
                <w:rFonts w:ascii="Aptos" w:hAnsi="Aptos"/>
                <w:b w:val="0"/>
                <w:i w:val="0"/>
                <w:color w:val="17242B"/>
                <w:sz w:val="20"/>
              </w:rPr>
              <w:t>The Soviet Union publicly accepts verified missile removal, and the United States publicly promises not to invade Cuba. A private understanding also addresses the U.S. Jupiter missiles in Turkey. The public and private terms allow both governments to claim important gains.</w:t>
            </w:r>
          </w:p>
        </w:tc>
      </w:tr>
    </w:tbl>
    <w:p>
      <w:pPr>
        <w:spacing w:after="0"/>
      </w:pPr>
    </w:p>
    <w:p>
      <w:pPr>
        <w:pStyle w:val="Heading1"/>
        <w:keepNext/>
      </w:pPr>
      <w:r>
        <w:rPr>
          <w:rFonts w:ascii="Aptos" w:hAnsi="Aptos"/>
          <w:b/>
          <w:i w:val="0"/>
          <w:color w:val="10283B"/>
          <w:sz w:val="34"/>
        </w:rPr>
        <w:t>8. Cross-disciplinary card samples</w:t>
      </w:r>
    </w:p>
    <w:p>
      <w:pPr>
        <w:pStyle w:val="SmallLabel"/>
      </w:pPr>
      <w:r>
        <w:rPr>
          <w:rFonts w:ascii="Aptos" w:hAnsi="Aptos"/>
          <w:b/>
          <w:i w:val="0"/>
          <w:color w:val="D6A936"/>
          <w:sz w:val="17"/>
        </w:rPr>
        <w:t>MEDICINE</w:t>
      </w:r>
    </w:p>
    <w:tbl>
      <w:tblPr>
        <w:tblW w:type="auto" w:w="0"/>
        <w:jc w:val="center"/>
        <w:tblLayout w:type="fixed"/>
        <w:tblLook w:firstColumn="1" w:firstRow="1" w:lastColumn="0" w:lastRow="0" w:noHBand="0" w:noVBand="1" w:val="04A0"/>
      </w:tblPr>
      <w:tblGrid>
        <w:gridCol w:w="10166"/>
      </w:tblGrid>
      <w:tr>
        <w:trPr/>
        <w:tc>
          <w:tcPr>
            <w:tcW w:type="dxa" w:w="10166"/>
            <w:shd w:fill="F7FAFB"/>
            <w:tcMar>
              <w:top w:w="110" w:type="dxa"/>
              <w:start w:w="130" w:type="dxa"/>
              <w:bottom w:w="110" w:type="dxa"/>
              <w:end w:w="130" w:type="dxa"/>
            </w:tcMar>
          </w:tcPr>
          <w:p>
            <w:pPr>
              <w:keepLines/>
              <w:spacing w:after="100"/>
            </w:pPr>
            <w:r>
              <w:rPr>
                <w:rFonts w:ascii="Aptos" w:hAnsi="Aptos"/>
                <w:b/>
                <w:i w:val="0"/>
                <w:color w:val="10283B"/>
                <w:sz w:val="23"/>
              </w:rPr>
              <w:t>Blood cells form a quick temporary plug</w:t>
            </w:r>
          </w:p>
          <w:p>
            <w:pPr>
              <w:keepLines/>
              <w:spacing w:after="0"/>
            </w:pPr>
            <w:r>
              <w:rPr>
                <w:rFonts w:ascii="Aptos" w:hAnsi="Aptos"/>
                <w:b w:val="0"/>
                <w:i w:val="0"/>
                <w:color w:val="17242B"/>
                <w:sz w:val="20"/>
              </w:rPr>
              <w:t>Small blood-cell fragments called platelets gather on the damaged vessel wall and join into a compact mass. Platelets change shape and release chemical signals that attract more platelets. Vessel narrowing reduces blood flow, but this plug is still easy to disrupt.</w:t>
            </w:r>
          </w:p>
        </w:tc>
      </w:tr>
    </w:tbl>
    <w:p>
      <w:pPr>
        <w:spacing w:after="0"/>
      </w:pPr>
    </w:p>
    <w:p>
      <w:pPr>
        <w:pStyle w:val="SmallLabel"/>
      </w:pPr>
      <w:r>
        <w:rPr>
          <w:rFonts w:ascii="Aptos" w:hAnsi="Aptos"/>
          <w:b/>
          <w:i w:val="0"/>
          <w:color w:val="D6A936"/>
          <w:sz w:val="17"/>
        </w:rPr>
        <w:t>ASTRONOMY</w:t>
      </w:r>
    </w:p>
    <w:tbl>
      <w:tblPr>
        <w:tblW w:type="auto" w:w="0"/>
        <w:jc w:val="center"/>
        <w:tblLayout w:type="fixed"/>
        <w:tblLook w:firstColumn="1" w:firstRow="1" w:lastColumn="0" w:lastRow="0" w:noHBand="0" w:noVBand="1" w:val="04A0"/>
      </w:tblPr>
      <w:tblGrid>
        <w:gridCol w:w="10166"/>
      </w:tblGrid>
      <w:tr>
        <w:trPr/>
        <w:tc>
          <w:tcPr>
            <w:tcW w:type="dxa" w:w="10166"/>
            <w:shd w:fill="F7FAFB"/>
            <w:tcMar>
              <w:top w:w="110" w:type="dxa"/>
              <w:start w:w="130" w:type="dxa"/>
              <w:bottom w:w="110" w:type="dxa"/>
              <w:end w:w="130" w:type="dxa"/>
            </w:tcMar>
          </w:tcPr>
          <w:p>
            <w:pPr>
              <w:keepLines/>
              <w:spacing w:after="100"/>
            </w:pPr>
            <w:r>
              <w:rPr>
                <w:rFonts w:ascii="Aptos" w:hAnsi="Aptos"/>
                <w:b/>
                <w:i w:val="0"/>
                <w:color w:val="10283B"/>
                <w:sz w:val="23"/>
              </w:rPr>
              <w:t>The core begins making carbon and oxygen</w:t>
            </w:r>
          </w:p>
          <w:p>
            <w:pPr>
              <w:keepLines/>
              <w:spacing w:after="0"/>
            </w:pPr>
            <w:r>
              <w:rPr>
                <w:rFonts w:ascii="Aptos" w:hAnsi="Aptos"/>
                <w:b w:val="0"/>
                <w:i w:val="0"/>
                <w:color w:val="17242B"/>
                <w:sz w:val="20"/>
              </w:rPr>
              <w:t>Helium nuclei combine in the hot center, producing carbon and oxygen while the outer star remains enlarged. Helium fusion supplies energy from the core itself. The core’s chemical composition records that this nuclear reaction is operating.</w:t>
            </w:r>
          </w:p>
        </w:tc>
      </w:tr>
    </w:tbl>
    <w:p>
      <w:pPr>
        <w:spacing w:after="0"/>
      </w:pPr>
    </w:p>
    <w:p>
      <w:pPr>
        <w:pStyle w:val="SmallLabel"/>
      </w:pPr>
      <w:r>
        <w:rPr>
          <w:rFonts w:ascii="Aptos" w:hAnsi="Aptos"/>
          <w:b/>
          <w:i w:val="0"/>
          <w:color w:val="D6A936"/>
          <w:sz w:val="17"/>
        </w:rPr>
        <w:t>COMPUTING</w:t>
      </w:r>
    </w:p>
    <w:tbl>
      <w:tblPr>
        <w:tblW w:type="auto" w:w="0"/>
        <w:jc w:val="center"/>
        <w:tblLayout w:type="fixed"/>
        <w:tblLook w:firstColumn="1" w:firstRow="1" w:lastColumn="0" w:lastRow="0" w:noHBand="0" w:noVBand="1" w:val="04A0"/>
      </w:tblPr>
      <w:tblGrid>
        <w:gridCol w:w="10166"/>
      </w:tblGrid>
      <w:tr>
        <w:trPr/>
        <w:tc>
          <w:tcPr>
            <w:tcW w:type="dxa" w:w="10166"/>
            <w:shd w:fill="F7FAFB"/>
            <w:tcMar>
              <w:top w:w="110" w:type="dxa"/>
              <w:start w:w="130" w:type="dxa"/>
              <w:bottom w:w="110" w:type="dxa"/>
              <w:end w:w="130" w:type="dxa"/>
            </w:tcMar>
          </w:tcPr>
          <w:p>
            <w:pPr>
              <w:keepLines/>
              <w:spacing w:after="100"/>
            </w:pPr>
            <w:r>
              <w:rPr>
                <w:rFonts w:ascii="Aptos" w:hAnsi="Aptos"/>
                <w:b/>
                <w:i w:val="0"/>
                <w:color w:val="10283B"/>
                <w:sz w:val="23"/>
              </w:rPr>
              <w:t>The browser verifies the site and turns on encryption</w:t>
            </w:r>
          </w:p>
          <w:p>
            <w:pPr>
              <w:keepLines/>
              <w:spacing w:after="0"/>
            </w:pPr>
            <w:r>
              <w:rPr>
                <w:rFonts w:ascii="Aptos" w:hAnsi="Aptos"/>
                <w:b w:val="0"/>
                <w:i w:val="0"/>
                <w:color w:val="17242B"/>
                <w:sz w:val="20"/>
              </w:rPr>
              <w:t>The server presents digital identity information, and both machines create keys for protected communication. TLS helps the browser confirm that it reached the intended site. It also keeps the web traffic private and detects tampering.</w:t>
            </w:r>
          </w:p>
        </w:tc>
      </w:tr>
    </w:tbl>
    <w:p>
      <w:pPr>
        <w:spacing w:after="0"/>
      </w:pPr>
    </w:p>
    <w:p>
      <w:pPr>
        <w:pStyle w:val="SmallLabel"/>
      </w:pPr>
      <w:r>
        <w:rPr>
          <w:rFonts w:ascii="Aptos" w:hAnsi="Aptos"/>
          <w:b/>
          <w:i w:val="0"/>
          <w:color w:val="D6A936"/>
          <w:sz w:val="17"/>
        </w:rPr>
        <w:t>LAW</w:t>
      </w:r>
    </w:p>
    <w:tbl>
      <w:tblPr>
        <w:tblW w:type="auto" w:w="0"/>
        <w:jc w:val="center"/>
        <w:tblLayout w:type="fixed"/>
        <w:tblLook w:firstColumn="1" w:firstRow="1" w:lastColumn="0" w:lastRow="0" w:noHBand="0" w:noVBand="1" w:val="04A0"/>
      </w:tblPr>
      <w:tblGrid>
        <w:gridCol w:w="10166"/>
      </w:tblGrid>
      <w:tr>
        <w:trPr/>
        <w:tc>
          <w:tcPr>
            <w:tcW w:type="dxa" w:w="10166"/>
            <w:shd w:fill="F7FAFB"/>
            <w:tcMar>
              <w:top w:w="110" w:type="dxa"/>
              <w:start w:w="130" w:type="dxa"/>
              <w:bottom w:w="110" w:type="dxa"/>
              <w:end w:w="130" w:type="dxa"/>
            </w:tcMar>
          </w:tcPr>
          <w:p>
            <w:pPr>
              <w:keepLines/>
              <w:spacing w:after="100"/>
            </w:pPr>
            <w:r>
              <w:rPr>
                <w:rFonts w:ascii="Aptos" w:hAnsi="Aptos"/>
                <w:b/>
                <w:i w:val="0"/>
                <w:color w:val="10283B"/>
                <w:sz w:val="23"/>
              </w:rPr>
              <w:t>Both sides gather and exchange relevant evidence</w:t>
            </w:r>
          </w:p>
          <w:p>
            <w:pPr>
              <w:keepLines/>
              <w:spacing w:after="0"/>
            </w:pPr>
            <w:r>
              <w:rPr>
                <w:rFonts w:ascii="Aptos" w:hAnsi="Aptos"/>
                <w:b w:val="0"/>
                <w:i w:val="0"/>
                <w:color w:val="17242B"/>
                <w:sz w:val="20"/>
              </w:rPr>
              <w:t>The parties collect documents, answer written questions, take sworn interviews, inspect material, and disclose expert information. This evidence-gathering process is called discovery. A sworn interview recorded by a court reporter is called a deposition.</w:t>
            </w:r>
          </w:p>
        </w:tc>
      </w:tr>
    </w:tbl>
    <w:p>
      <w:pPr>
        <w:spacing w:after="0"/>
      </w:pPr>
    </w:p>
    <w:p>
      <w:pPr>
        <w:pStyle w:val="SmallLabel"/>
      </w:pPr>
      <w:r>
        <w:rPr>
          <w:rFonts w:ascii="Aptos" w:hAnsi="Aptos"/>
          <w:b/>
          <w:i w:val="0"/>
          <w:color w:val="D6A936"/>
          <w:sz w:val="17"/>
        </w:rPr>
        <w:t>AEROSPACE</w:t>
      </w:r>
    </w:p>
    <w:tbl>
      <w:tblPr>
        <w:tblW w:type="auto" w:w="0"/>
        <w:jc w:val="center"/>
        <w:tblLayout w:type="fixed"/>
        <w:tblLook w:firstColumn="1" w:firstRow="1" w:lastColumn="0" w:lastRow="0" w:noHBand="0" w:noVBand="1" w:val="04A0"/>
      </w:tblPr>
      <w:tblGrid>
        <w:gridCol w:w="10166"/>
      </w:tblGrid>
      <w:tr>
        <w:trPr/>
        <w:tc>
          <w:tcPr>
            <w:tcW w:type="dxa" w:w="10166"/>
            <w:shd w:fill="F7FAFB"/>
            <w:tcMar>
              <w:top w:w="110" w:type="dxa"/>
              <w:start w:w="130" w:type="dxa"/>
              <w:bottom w:w="110" w:type="dxa"/>
              <w:end w:w="130" w:type="dxa"/>
            </w:tcMar>
          </w:tcPr>
          <w:p>
            <w:pPr>
              <w:keepLines/>
              <w:spacing w:after="100"/>
            </w:pPr>
            <w:r>
              <w:rPr>
                <w:rFonts w:ascii="Aptos" w:hAnsi="Aptos"/>
                <w:b/>
                <w:i w:val="0"/>
                <w:color w:val="10283B"/>
                <w:sz w:val="23"/>
              </w:rPr>
              <w:t>Air pressure on the speeding rocket reaches its maximum</w:t>
            </w:r>
          </w:p>
          <w:p>
            <w:pPr>
              <w:keepLines/>
              <w:spacing w:after="0"/>
            </w:pPr>
            <w:r>
              <w:rPr>
                <w:rFonts w:ascii="Aptos" w:hAnsi="Aptos"/>
                <w:b w:val="0"/>
                <w:i w:val="0"/>
                <w:color w:val="17242B"/>
                <w:sz w:val="20"/>
              </w:rPr>
              <w:t>The combination of atmospheric density and vehicle speed creates the greatest aerodynamic load of the mission. Engineers call this point max Q. The rocket may reduce thrust or adjust guidance to protect the structure.</w:t>
            </w:r>
          </w:p>
        </w:tc>
      </w:tr>
    </w:tbl>
    <w:p>
      <w:pPr>
        <w:spacing w:after="0"/>
      </w:pPr>
    </w:p>
    <w:p>
      <w:pPr>
        <w:pStyle w:val="SmallLabel"/>
      </w:pPr>
      <w:r>
        <w:rPr>
          <w:rFonts w:ascii="Aptos" w:hAnsi="Aptos"/>
          <w:b/>
          <w:i w:val="0"/>
          <w:color w:val="D6A936"/>
          <w:sz w:val="17"/>
        </w:rPr>
        <w:t>CHEMISTRY</w:t>
      </w:r>
    </w:p>
    <w:tbl>
      <w:tblPr>
        <w:tblW w:type="auto" w:w="0"/>
        <w:jc w:val="center"/>
        <w:tblLayout w:type="fixed"/>
        <w:tblLook w:firstColumn="1" w:firstRow="1" w:lastColumn="0" w:lastRow="0" w:noHBand="0" w:noVBand="1" w:val="04A0"/>
      </w:tblPr>
      <w:tblGrid>
        <w:gridCol w:w="10166"/>
      </w:tblGrid>
      <w:tr>
        <w:trPr/>
        <w:tc>
          <w:tcPr>
            <w:tcW w:type="dxa" w:w="10166"/>
            <w:shd w:fill="F7FAFB"/>
            <w:tcMar>
              <w:top w:w="110" w:type="dxa"/>
              <w:start w:w="130" w:type="dxa"/>
              <w:bottom w:w="110" w:type="dxa"/>
              <w:end w:w="130" w:type="dxa"/>
            </w:tcMar>
          </w:tcPr>
          <w:p>
            <w:pPr>
              <w:keepLines/>
              <w:spacing w:after="100"/>
            </w:pPr>
            <w:r>
              <w:rPr>
                <w:rFonts w:ascii="Aptos" w:hAnsi="Aptos"/>
                <w:b/>
                <w:i w:val="0"/>
                <w:color w:val="10283B"/>
                <w:sz w:val="23"/>
              </w:rPr>
              <w:t>Soap surrounds each oily droplet</w:t>
            </w:r>
          </w:p>
          <w:p>
            <w:pPr>
              <w:keepLines/>
              <w:spacing w:after="0"/>
            </w:pPr>
            <w:r>
              <w:rPr>
                <w:rFonts w:ascii="Aptos" w:hAnsi="Aptos"/>
                <w:b w:val="0"/>
                <w:i w:val="0"/>
                <w:color w:val="17242B"/>
                <w:sz w:val="20"/>
              </w:rPr>
              <w:t>Soap molecules form a layer with their oil-friendly tails pointing inward and their water-friendly heads pointing outward. The resulting structure is called a micelle. It packages nonpolar grease inside an exterior that can remain in water.</w:t>
            </w:r>
          </w:p>
        </w:tc>
      </w:tr>
    </w:tbl>
    <w:p>
      <w:pPr>
        <w:spacing w:after="0"/>
      </w:pPr>
    </w:p>
    <w:p>
      <w:pPr>
        <w:pStyle w:val="SmallLabel"/>
      </w:pPr>
      <w:r>
        <w:rPr>
          <w:rFonts w:ascii="Aptos" w:hAnsi="Aptos"/>
          <w:b/>
          <w:i w:val="0"/>
          <w:color w:val="D6A936"/>
          <w:sz w:val="17"/>
        </w:rPr>
        <w:t>ECOLOGY</w:t>
      </w:r>
    </w:p>
    <w:tbl>
      <w:tblPr>
        <w:tblW w:type="auto" w:w="0"/>
        <w:jc w:val="center"/>
        <w:tblLayout w:type="fixed"/>
        <w:tblLook w:firstColumn="1" w:firstRow="1" w:lastColumn="0" w:lastRow="0" w:noHBand="0" w:noVBand="1" w:val="04A0"/>
      </w:tblPr>
      <w:tblGrid>
        <w:gridCol w:w="10166"/>
      </w:tblGrid>
      <w:tr>
        <w:trPr/>
        <w:tc>
          <w:tcPr>
            <w:tcW w:type="dxa" w:w="10166"/>
            <w:shd w:fill="F7FAFB"/>
            <w:tcMar>
              <w:top w:w="110" w:type="dxa"/>
              <w:start w:w="130" w:type="dxa"/>
              <w:bottom w:w="110" w:type="dxa"/>
              <w:end w:w="130" w:type="dxa"/>
            </w:tcMar>
          </w:tcPr>
          <w:p>
            <w:pPr>
              <w:keepLines/>
              <w:spacing w:after="100"/>
            </w:pPr>
            <w:r>
              <w:rPr>
                <w:rFonts w:ascii="Aptos" w:hAnsi="Aptos"/>
                <w:b/>
                <w:i w:val="0"/>
                <w:color w:val="10283B"/>
                <w:sz w:val="23"/>
              </w:rPr>
              <w:t>Microbes feed on the dead material</w:t>
            </w:r>
          </w:p>
          <w:p>
            <w:pPr>
              <w:keepLines/>
              <w:spacing w:after="0"/>
            </w:pPr>
            <w:r>
              <w:rPr>
                <w:rFonts w:ascii="Aptos" w:hAnsi="Aptos"/>
                <w:b w:val="0"/>
                <w:i w:val="0"/>
                <w:color w:val="17242B"/>
                <w:sz w:val="20"/>
              </w:rPr>
              <w:t>Bacteria and other decomposers become abundant around the sinking organic matter and break it into simpler substances. The microbes use cellular respiration to obtain energy. That metabolism consumes oxygen dissolved in the surrounding water.</w:t>
            </w:r>
          </w:p>
        </w:tc>
      </w:tr>
    </w:tbl>
    <w:p>
      <w:pPr>
        <w:spacing w:after="0"/>
      </w:pPr>
    </w:p>
    <w:p>
      <w:pPr>
        <w:pStyle w:val="SmallLabel"/>
      </w:pPr>
      <w:r>
        <w:rPr>
          <w:rFonts w:ascii="Aptos" w:hAnsi="Aptos"/>
          <w:b/>
          <w:i w:val="0"/>
          <w:color w:val="D6A936"/>
          <w:sz w:val="17"/>
        </w:rPr>
        <w:t>EARTH SCIENCE</w:t>
      </w:r>
    </w:p>
    <w:tbl>
      <w:tblPr>
        <w:tblW w:type="auto" w:w="0"/>
        <w:jc w:val="center"/>
        <w:tblLayout w:type="fixed"/>
        <w:tblLook w:firstColumn="1" w:firstRow="1" w:lastColumn="0" w:lastRow="0" w:noHBand="0" w:noVBand="1" w:val="04A0"/>
      </w:tblPr>
      <w:tblGrid>
        <w:gridCol w:w="10166"/>
      </w:tblGrid>
      <w:tr>
        <w:trPr/>
        <w:tc>
          <w:tcPr>
            <w:tcW w:type="dxa" w:w="10166"/>
            <w:shd w:fill="F7FAFB"/>
            <w:tcMar>
              <w:top w:w="110" w:type="dxa"/>
              <w:start w:w="130" w:type="dxa"/>
              <w:bottom w:w="110" w:type="dxa"/>
              <w:end w:w="130" w:type="dxa"/>
            </w:tcMar>
          </w:tcPr>
          <w:p>
            <w:pPr>
              <w:keepLines/>
              <w:spacing w:after="100"/>
            </w:pPr>
            <w:r>
              <w:rPr>
                <w:rFonts w:ascii="Aptos" w:hAnsi="Aptos"/>
                <w:b/>
                <w:i w:val="0"/>
                <w:color w:val="10283B"/>
                <w:sz w:val="23"/>
              </w:rPr>
              <w:t>Shallow water slows the wave and builds stronger currents</w:t>
            </w:r>
          </w:p>
          <w:p>
            <w:pPr>
              <w:keepLines/>
              <w:spacing w:after="0"/>
            </w:pPr>
            <w:r>
              <w:rPr>
                <w:rFonts w:ascii="Aptos" w:hAnsi="Aptos"/>
                <w:b w:val="0"/>
                <w:i w:val="0"/>
                <w:color w:val="17242B"/>
                <w:sz w:val="20"/>
              </w:rPr>
              <w:t>The wave’s speed and wavelength decrease near the continental margin, while water height and current strength grow. This transformation is called shoaling. The shape of the seafloor and coastline can focus the flow.</w:t>
            </w:r>
          </w:p>
        </w:tc>
      </w:tr>
    </w:tbl>
    <w:p>
      <w:pPr>
        <w:spacing w:after="0"/>
      </w:pPr>
    </w:p>
    <w:p>
      <w:pPr>
        <w:pStyle w:val="SmallLabel"/>
      </w:pPr>
      <w:r>
        <w:rPr>
          <w:rFonts w:ascii="Aptos" w:hAnsi="Aptos"/>
          <w:b/>
          <w:i w:val="0"/>
          <w:color w:val="D6A936"/>
          <w:sz w:val="17"/>
        </w:rPr>
        <w:t>PAYMENT SYSTEMS</w:t>
      </w:r>
    </w:p>
    <w:tbl>
      <w:tblPr>
        <w:tblW w:type="auto" w:w="0"/>
        <w:jc w:val="center"/>
        <w:tblLayout w:type="fixed"/>
        <w:tblLook w:firstColumn="1" w:firstRow="1" w:lastColumn="0" w:lastRow="0" w:noHBand="0" w:noVBand="1" w:val="04A0"/>
      </w:tblPr>
      <w:tblGrid>
        <w:gridCol w:w="10166"/>
      </w:tblGrid>
      <w:tr>
        <w:trPr/>
        <w:tc>
          <w:tcPr>
            <w:tcW w:type="dxa" w:w="10166"/>
            <w:shd w:fill="F7FAFB"/>
            <w:tcMar>
              <w:top w:w="110" w:type="dxa"/>
              <w:start w:w="130" w:type="dxa"/>
              <w:bottom w:w="110" w:type="dxa"/>
              <w:end w:w="130" w:type="dxa"/>
            </w:tcMar>
          </w:tcPr>
          <w:p>
            <w:pPr>
              <w:keepLines/>
              <w:spacing w:after="100"/>
            </w:pPr>
            <w:r>
              <w:rPr>
                <w:rFonts w:ascii="Aptos" w:hAnsi="Aptos"/>
                <w:b/>
                <w:i w:val="0"/>
                <w:color w:val="10283B"/>
                <w:sz w:val="23"/>
              </w:rPr>
              <w:t>The payment system calculates what each bank owes</w:t>
            </w:r>
          </w:p>
          <w:p>
            <w:pPr>
              <w:keepLines/>
              <w:spacing w:after="0"/>
            </w:pPr>
            <w:r>
              <w:rPr>
                <w:rFonts w:ascii="Aptos" w:hAnsi="Aptos"/>
                <w:b w:val="0"/>
                <w:i w:val="0"/>
                <w:color w:val="17242B"/>
                <w:sz w:val="20"/>
              </w:rPr>
              <w:t>Detailed transaction records, fees, corrections, and final values are compared and reconciled among the participants. This accounting process is called clearing. It creates the net obligations used for moving money.</w:t>
            </w:r>
          </w:p>
        </w:tc>
      </w:tr>
    </w:tbl>
    <w:p>
      <w:pPr>
        <w:spacing w:after="0"/>
      </w:pPr>
    </w:p>
    <w:p>
      <w:pPr>
        <w:pStyle w:val="Heading1"/>
        <w:keepNext/>
      </w:pPr>
      <w:r>
        <w:rPr>
          <w:rFonts w:ascii="Aptos" w:hAnsi="Aptos"/>
          <w:b/>
          <w:i w:val="0"/>
          <w:color w:val="10283B"/>
          <w:sz w:val="34"/>
        </w:rPr>
        <w:t>9. Open design questions</w:t>
      </w:r>
    </w:p>
    <w:p>
      <w:pPr>
        <w:pStyle w:val="ListBullet"/>
        <w:spacing w:after="60"/>
      </w:pPr>
      <w:r>
        <w:rPr>
          <w:rFonts w:ascii="Aptos" w:hAnsi="Aptos"/>
          <w:b w:val="0"/>
          <w:i w:val="0"/>
          <w:color w:val="17242B"/>
          <w:sz w:val="21"/>
        </w:rPr>
        <w:t>Does Tutorial mode’s longest-correct-prefix locking teach the sequence effectively, or does it permit too much incremental guessing?</w:t>
      </w:r>
    </w:p>
    <w:p>
      <w:pPr>
        <w:pStyle w:val="ListBullet"/>
        <w:spacing w:after="60"/>
      </w:pPr>
      <w:r>
        <w:rPr>
          <w:rFonts w:ascii="Aptos" w:hAnsi="Aptos"/>
          <w:b w:val="0"/>
          <w:i w:val="0"/>
          <w:color w:val="17242B"/>
          <w:sz w:val="21"/>
        </w:rPr>
        <w:t>Are three relational clues enough to create meaningful deduction across seven- and eight-card cases?</w:t>
      </w:r>
    </w:p>
    <w:p>
      <w:pPr>
        <w:pStyle w:val="ListBullet"/>
        <w:spacing w:after="60"/>
      </w:pPr>
      <w:r>
        <w:rPr>
          <w:rFonts w:ascii="Aptos" w:hAnsi="Aptos"/>
          <w:b w:val="0"/>
          <w:i w:val="0"/>
          <w:color w:val="17242B"/>
          <w:sz w:val="21"/>
        </w:rPr>
        <w:t>How can clues remain helpful without either duplicating the cards or becoming cryptic “evidence files”?</w:t>
      </w:r>
    </w:p>
    <w:p>
      <w:pPr>
        <w:pStyle w:val="ListBullet"/>
        <w:spacing w:after="60"/>
      </w:pPr>
      <w:r>
        <w:rPr>
          <w:rFonts w:ascii="Aptos" w:hAnsi="Aptos"/>
          <w:b w:val="0"/>
          <w:i w:val="0"/>
          <w:color w:val="17242B"/>
          <w:sz w:val="21"/>
        </w:rPr>
        <w:t>How much background is needed for a learner with no prior domain knowledge?</w:t>
      </w:r>
    </w:p>
    <w:p>
      <w:pPr>
        <w:pStyle w:val="ListBullet"/>
        <w:spacing w:after="60"/>
      </w:pPr>
      <w:r>
        <w:rPr>
          <w:rFonts w:ascii="Aptos" w:hAnsi="Aptos"/>
          <w:b w:val="0"/>
          <w:i w:val="0"/>
          <w:color w:val="17242B"/>
          <w:sz w:val="21"/>
        </w:rPr>
        <w:t>Should every case use the same amount of glossary material, or should the structure adapt to the discipline?</w:t>
      </w:r>
    </w:p>
    <w:p>
      <w:pPr>
        <w:pStyle w:val="ListBullet"/>
        <w:spacing w:after="60"/>
      </w:pPr>
      <w:r>
        <w:rPr>
          <w:rFonts w:ascii="Aptos" w:hAnsi="Aptos"/>
          <w:b w:val="0"/>
          <w:i w:val="0"/>
          <w:color w:val="17242B"/>
          <w:sz w:val="21"/>
        </w:rPr>
        <w:t>Do the richer cards still demand sequential reasoning, or have they become miniature textbook paragraphs that make the interaction too slow?</w:t>
      </w:r>
    </w:p>
    <w:p>
      <w:pPr>
        <w:pStyle w:val="ListBullet"/>
        <w:spacing w:after="60"/>
      </w:pPr>
      <w:r>
        <w:rPr>
          <w:rFonts w:ascii="Aptos" w:hAnsi="Aptos"/>
          <w:b w:val="0"/>
          <w:i w:val="0"/>
          <w:color w:val="17242B"/>
          <w:sz w:val="21"/>
        </w:rPr>
        <w:t>How should the game handle real processes with overlapping phases, branching pathways, or partially interchangeable events?</w:t>
      </w:r>
    </w:p>
    <w:p>
      <w:pPr>
        <w:pStyle w:val="ListBullet"/>
        <w:spacing w:after="60"/>
      </w:pPr>
      <w:r>
        <w:rPr>
          <w:rFonts w:ascii="Aptos" w:hAnsi="Aptos"/>
          <w:b w:val="0"/>
          <w:i w:val="0"/>
          <w:color w:val="17242B"/>
          <w:sz w:val="21"/>
        </w:rPr>
        <w:t>What difficulty progression would work across middle school, high school, college, and adult learners?</w:t>
      </w:r>
    </w:p>
    <w:p>
      <w:pPr>
        <w:pStyle w:val="ListBullet"/>
        <w:spacing w:after="60"/>
      </w:pPr>
      <w:r>
        <w:rPr>
          <w:rFonts w:ascii="Aptos" w:hAnsi="Aptos"/>
          <w:b w:val="0"/>
          <w:i w:val="0"/>
          <w:color w:val="17242B"/>
          <w:sz w:val="21"/>
        </w:rPr>
        <w:t>What authoring rules would help generate many cases without leaking the answer through language?</w:t>
      </w:r>
    </w:p>
    <w:p>
      <w:pPr>
        <w:pStyle w:val="ListBullet"/>
        <w:spacing w:after="60"/>
      </w:pPr>
      <w:r>
        <w:rPr>
          <w:rFonts w:ascii="Aptos" w:hAnsi="Aptos"/>
          <w:b w:val="0"/>
          <w:i w:val="0"/>
          <w:color w:val="17242B"/>
          <w:sz w:val="21"/>
        </w:rPr>
        <w:t>Which of the current ten subjects are naturally suited to this mechanic, and which are being forced into a linear sequence?</w:t>
      </w:r>
    </w:p>
    <w:tbl>
      <w:tblPr>
        <w:tblW w:type="auto" w:w="0"/>
        <w:jc w:val="center"/>
        <w:tblLook w:firstColumn="1" w:firstRow="1" w:lastColumn="0" w:lastRow="0" w:noHBand="0" w:noVBand="1" w:val="04A0"/>
      </w:tblPr>
      <w:tblGrid>
        <w:gridCol w:w="10166"/>
      </w:tblGrid>
      <w:tr>
        <w:trPr/>
        <w:tc>
          <w:tcPr>
            <w:tcW w:type="dxa" w:w="10166"/>
            <w:shd w:fill="F8E7E7"/>
            <w:tcMar>
              <w:top w:w="130" w:type="dxa"/>
              <w:start w:w="150" w:type="dxa"/>
              <w:bottom w:w="130" w:type="dxa"/>
              <w:end w:w="150" w:type="dxa"/>
            </w:tcMar>
            <w:tcBorders>
              <w:top w:val="single" w:sz="8" w:color="B65353"/>
              <w:left w:val="single" w:sz="8" w:color="B65353"/>
              <w:bottom w:val="single" w:sz="8" w:color="B65353"/>
              <w:right w:val="single" w:sz="8" w:color="B65353"/>
            </w:tcBorders>
          </w:tcPr>
          <w:p>
            <w:pPr>
              <w:keepLines/>
              <w:spacing w:after="100"/>
            </w:pPr>
            <w:r>
              <w:rPr>
                <w:rFonts w:ascii="Aptos" w:hAnsi="Aptos"/>
                <w:b/>
                <w:i w:val="0"/>
                <w:color w:val="B65353"/>
                <w:sz w:val="23"/>
              </w:rPr>
              <w:t>Most important concern</w:t>
            </w:r>
          </w:p>
          <w:p>
            <w:pPr>
              <w:keepLines/>
              <w:spacing w:after="0"/>
            </w:pPr>
            <w:r>
              <w:rPr>
                <w:rFonts w:ascii="Aptos" w:hAnsi="Aptos"/>
                <w:b w:val="0"/>
                <w:i w:val="0"/>
                <w:color w:val="17242B"/>
                <w:sz w:val="21"/>
              </w:rPr>
              <w:t>The game should feel educational because the player constructs a model of a process. It should not feel like sorting verbose paragraphs by detecting hidden transition words, nor like repeatedly guessing until the interface locks the answer.</w:t>
            </w:r>
          </w:p>
        </w:tc>
      </w:tr>
    </w:tbl>
    <w:p>
      <w:pPr>
        <w:spacing w:after="20"/>
      </w:pPr>
    </w:p>
    <w:p>
      <w:r>
        <w:br w:type="page"/>
      </w:r>
    </w:p>
    <w:p>
      <w:pPr>
        <w:pStyle w:val="Heading1"/>
        <w:keepNext/>
      </w:pPr>
      <w:r>
        <w:rPr>
          <w:rFonts w:ascii="Aptos" w:hAnsi="Aptos"/>
          <w:b/>
          <w:i w:val="0"/>
          <w:color w:val="10283B"/>
          <w:sz w:val="34"/>
        </w:rPr>
        <w:t>10. Prompt for Claude</w:t>
      </w:r>
    </w:p>
    <w:tbl>
      <w:tblPr>
        <w:tblW w:type="auto" w:w="0"/>
        <w:jc w:val="center"/>
        <w:tblLook w:firstColumn="1" w:firstRow="1" w:lastColumn="0" w:lastRow="0" w:noHBand="0" w:noVBand="1" w:val="04A0"/>
      </w:tblPr>
      <w:tblGrid>
        <w:gridCol w:w="10166"/>
      </w:tblGrid>
      <w:tr>
        <w:trPr/>
        <w:tc>
          <w:tcPr>
            <w:tcW w:type="dxa" w:w="10166"/>
            <w:shd w:fill="07121D"/>
            <w:tcMar>
              <w:top w:w="120" w:type="dxa"/>
              <w:start w:w="145" w:type="dxa"/>
              <w:bottom w:w="120" w:type="dxa"/>
              <w:end w:w="145" w:type="dxa"/>
            </w:tcMar>
          </w:tcPr>
          <w:p>
            <w:pPr>
              <w:keepLines/>
              <w:spacing w:after="40" w:line="240" w:lineRule="auto"/>
            </w:pPr>
            <w:r>
              <w:rPr>
                <w:rFonts w:ascii="Aptos" w:hAnsi="Aptos"/>
                <w:b w:val="0"/>
                <w:i w:val="0"/>
                <w:color w:val="FFFFFF"/>
                <w:sz w:val="18"/>
              </w:rPr>
              <w:t>Please review this design as a critical game designer, educational psychologist, and curriculum writer. Do not simply agree with the choices already made. Identify where the mechanic genuinely requires sequential reasoning and where it collapses into reading comprehension, prior-knowledge testing, or trial and error.</w:t>
            </w:r>
          </w:p>
          <w:p>
            <w:pPr>
              <w:keepLines/>
              <w:spacing w:after="40" w:line="240" w:lineRule="auto"/>
            </w:pPr>
            <w:r>
              <w:rPr>
                <w:rFonts w:ascii="Aptos" w:hAnsi="Aptos"/>
                <w:b w:val="0"/>
                <w:i w:val="0"/>
                <w:color w:val="FFFFFF"/>
                <w:sz w:val="18"/>
              </w:rPr>
            </w:r>
          </w:p>
          <w:p>
            <w:pPr>
              <w:keepLines/>
              <w:spacing w:after="40" w:line="240" w:lineRule="auto"/>
            </w:pPr>
            <w:r>
              <w:rPr>
                <w:rFonts w:ascii="Aptos" w:hAnsi="Aptos"/>
                <w:b w:val="0"/>
                <w:i w:val="0"/>
                <w:color w:val="FFFFFF"/>
                <w:sz w:val="18"/>
              </w:rPr>
              <w:t>Please address the following:</w:t>
            </w:r>
          </w:p>
          <w:p>
            <w:pPr>
              <w:keepLines/>
              <w:spacing w:after="40" w:line="240" w:lineRule="auto"/>
            </w:pPr>
            <w:r>
              <w:rPr>
                <w:rFonts w:ascii="Aptos" w:hAnsi="Aptos"/>
                <w:b w:val="0"/>
                <w:i w:val="0"/>
                <w:color w:val="FFFFFF"/>
                <w:sz w:val="18"/>
              </w:rPr>
              <w:t>1. Give your overall judgment of whether this is a strong reusable educational game format.</w:t>
            </w:r>
          </w:p>
          <w:p>
            <w:pPr>
              <w:keepLines/>
              <w:spacing w:after="40" w:line="240" w:lineRule="auto"/>
            </w:pPr>
            <w:r>
              <w:rPr>
                <w:rFonts w:ascii="Aptos" w:hAnsi="Aptos"/>
                <w:b w:val="0"/>
                <w:i w:val="0"/>
                <w:color w:val="FFFFFF"/>
                <w:sz w:val="18"/>
              </w:rPr>
              <w:t>2. Identify the five most important design weaknesses, ranked by severity.</w:t>
            </w:r>
          </w:p>
          <w:p>
            <w:pPr>
              <w:keepLines/>
              <w:spacing w:after="40" w:line="240" w:lineRule="auto"/>
            </w:pPr>
            <w:r>
              <w:rPr>
                <w:rFonts w:ascii="Aptos" w:hAnsi="Aptos"/>
                <w:b w:val="0"/>
                <w:i w:val="0"/>
                <w:color w:val="FFFFFF"/>
                <w:sz w:val="18"/>
              </w:rPr>
              <w:t>3. Evaluate Tutorial mode, especially the longest-correct-prefix locking system.</w:t>
            </w:r>
          </w:p>
          <w:p>
            <w:pPr>
              <w:keepLines/>
              <w:spacing w:after="40" w:line="240" w:lineRule="auto"/>
            </w:pPr>
            <w:r>
              <w:rPr>
                <w:rFonts w:ascii="Aptos" w:hAnsi="Aptos"/>
                <w:b w:val="0"/>
                <w:i w:val="0"/>
                <w:color w:val="FFFFFF"/>
                <w:sz w:val="18"/>
              </w:rPr>
              <w:t>4. Evaluate the two-layer card format: one clear sentence plus a high-school-level explanation.</w:t>
            </w:r>
          </w:p>
          <w:p>
            <w:pPr>
              <w:keepLines/>
              <w:spacing w:after="40" w:line="240" w:lineRule="auto"/>
            </w:pPr>
            <w:r>
              <w:rPr>
                <w:rFonts w:ascii="Aptos" w:hAnsi="Aptos"/>
                <w:b w:val="0"/>
                <w:i w:val="0"/>
                <w:color w:val="FFFFFF"/>
                <w:sz w:val="18"/>
              </w:rPr>
              <w:t>5. Evaluate the decision to use exactly three relational clues. Explain what makes a strong clue in this format.</w:t>
            </w:r>
          </w:p>
          <w:p>
            <w:pPr>
              <w:keepLines/>
              <w:spacing w:after="40" w:line="240" w:lineRule="auto"/>
            </w:pPr>
            <w:r>
              <w:rPr>
                <w:rFonts w:ascii="Aptos" w:hAnsi="Aptos"/>
                <w:b w:val="0"/>
                <w:i w:val="0"/>
                <w:color w:val="FFFFFF"/>
                <w:sz w:val="18"/>
              </w:rPr>
              <w:t>6. Examine the Cuban Missile Crisis example closely. Point out any card, background sentence, glossary entry, or clue that makes the order too obvious, remains confusing, or fails to teach something useful.</w:t>
            </w:r>
          </w:p>
          <w:p>
            <w:pPr>
              <w:keepLines/>
              <w:spacing w:after="40" w:line="240" w:lineRule="auto"/>
            </w:pPr>
            <w:r>
              <w:rPr>
                <w:rFonts w:ascii="Aptos" w:hAnsi="Aptos"/>
                <w:b w:val="0"/>
                <w:i w:val="0"/>
                <w:color w:val="FFFFFF"/>
                <w:sz w:val="18"/>
              </w:rPr>
              <w:t>7. Compare the mechanic across the ten disciplines and identify which topics fit naturally and which need a different structure.</w:t>
            </w:r>
          </w:p>
          <w:p>
            <w:pPr>
              <w:keepLines/>
              <w:spacing w:after="40" w:line="240" w:lineRule="auto"/>
            </w:pPr>
            <w:r>
              <w:rPr>
                <w:rFonts w:ascii="Aptos" w:hAnsi="Aptos"/>
                <w:b w:val="0"/>
                <w:i w:val="0"/>
                <w:color w:val="FFFFFF"/>
                <w:sz w:val="18"/>
              </w:rPr>
              <w:t>8. Propose a concise authoring template and quality-control checklist for creating new cases.</w:t>
            </w:r>
          </w:p>
          <w:p>
            <w:pPr>
              <w:keepLines/>
              <w:spacing w:after="40" w:line="240" w:lineRule="auto"/>
            </w:pPr>
            <w:r>
              <w:rPr>
                <w:rFonts w:ascii="Aptos" w:hAnsi="Aptos"/>
                <w:b w:val="0"/>
                <w:i w:val="0"/>
                <w:color w:val="FFFFFF"/>
                <w:sz w:val="18"/>
              </w:rPr>
              <w:t>9. Suggest specific changes that would make the game more educational and more fun without increasing interface complexity.</w:t>
            </w:r>
          </w:p>
          <w:p>
            <w:pPr>
              <w:keepLines/>
              <w:spacing w:after="40" w:line="240" w:lineRule="auto"/>
            </w:pPr>
            <w:r>
              <w:rPr>
                <w:rFonts w:ascii="Aptos" w:hAnsi="Aptos"/>
                <w:b w:val="0"/>
                <w:i w:val="0"/>
                <w:color w:val="FFFFFF"/>
                <w:sz w:val="18"/>
              </w:rPr>
              <w:t>10. Rewrite one weak case or a substantial portion of one case to demonstrate your recommended approach.</w:t>
            </w:r>
          </w:p>
          <w:p>
            <w:pPr>
              <w:keepLines/>
              <w:spacing w:after="40" w:line="240" w:lineRule="auto"/>
            </w:pPr>
            <w:r>
              <w:rPr>
                <w:rFonts w:ascii="Aptos" w:hAnsi="Aptos"/>
                <w:b w:val="0"/>
                <w:i w:val="0"/>
                <w:color w:val="FFFFFF"/>
                <w:sz w:val="18"/>
              </w:rPr>
            </w:r>
          </w:p>
          <w:p>
            <w:pPr>
              <w:keepLines/>
              <w:spacing w:after="40" w:line="240" w:lineRule="auto"/>
            </w:pPr>
            <w:r>
              <w:rPr>
                <w:rFonts w:ascii="Aptos" w:hAnsi="Aptos"/>
                <w:b w:val="0"/>
                <w:i w:val="0"/>
                <w:color w:val="FFFFFF"/>
                <w:sz w:val="18"/>
              </w:rPr>
              <w:t>Be direct and specific. Preserve the central idea only if you believe it works. If a different feedback model, clue model, card structure, or case-selection rule would be stronger, explain it clearly.</w:t>
            </w:r>
          </w:p>
        </w:tc>
      </w:tr>
    </w:tbl>
    <w:p>
      <w:pPr>
        <w:spacing w:before="240"/>
        <w:jc w:val="center"/>
      </w:pPr>
      <w:r>
        <w:rPr>
          <w:rFonts w:ascii="Aptos" w:hAnsi="Aptos"/>
          <w:b/>
          <w:i w:val="0"/>
          <w:color w:val="5A6A73"/>
          <w:sz w:val="18"/>
        </w:rPr>
        <w:t>End of design brief</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A6A73"/>
        <w:sz w:val="16"/>
      </w:rPr>
      <w:t>Educational sequence-game prototype | Prepared for external critique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5A6A73"/>
        <w:sz w:val="17"/>
      </w:rPr>
      <w:t>SEQUENCE GAME DESIGN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7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8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A6A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keepNext/>
      <w:spacing w:after="60"/>
    </w:pPr>
    <w:rPr>
      <w:rFonts w:ascii="Aptos" w:hAnsi="Aptos"/>
      <w:b/>
      <w:color w:val="D6A93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