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rFonts w:ascii="Georgia" w:cs="Georgia" w:eastAsia="Georgia" w:hAnsi="Georgia"/>
          <w:color w:val="202124"/>
          <w:sz w:val="83"/>
          <w:szCs w:val="83"/>
        </w:rPr>
      </w:pPr>
      <w:bookmarkStart w:colFirst="0" w:colLast="0" w:name="_yfu3cooc80o6" w:id="0"/>
      <w:bookmarkEnd w:id="0"/>
      <w:r w:rsidDel="00000000" w:rsidR="00000000" w:rsidRPr="00000000">
        <w:rPr>
          <w:b w:val="1"/>
          <w:color w:val="202124"/>
          <w:sz w:val="36"/>
          <w:szCs w:val="36"/>
          <w:rtl w:val="0"/>
        </w:rPr>
        <w:t xml:space="preserve">ABOUT</w:t>
      </w:r>
      <w:r w:rsidDel="00000000" w:rsidR="00000000" w:rsidRPr="00000000">
        <w:rPr>
          <w:b w:val="1"/>
          <w:color w:val="202124"/>
          <w:sz w:val="36"/>
          <w:szCs w:val="36"/>
          <w:rtl w:val="0"/>
        </w:rPr>
        <w:t xml:space="preserve"> IBEX35 TABLE DATASET</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rFonts w:ascii="Georgia" w:cs="Georgia" w:eastAsia="Georgia" w:hAnsi="Georgia"/>
          <w:color w:val="202124"/>
          <w:sz w:val="83"/>
          <w:szCs w:val="83"/>
        </w:rPr>
      </w:pPr>
      <w:bookmarkStart w:colFirst="0" w:colLast="0" w:name="_4bcasixqaczf" w:id="1"/>
      <w:bookmarkEnd w:id="1"/>
      <w:r w:rsidDel="00000000" w:rsidR="00000000" w:rsidRPr="00000000">
        <w:rPr>
          <w:b w:val="1"/>
          <w:color w:val="202124"/>
          <w:sz w:val="36"/>
          <w:szCs w:val="36"/>
          <w:rtl w:val="0"/>
        </w:rPr>
        <w:t xml:space="preserve"> </w: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b w:val="1"/>
          <w:color w:val="202124"/>
          <w:sz w:val="36"/>
          <w:szCs w:val="36"/>
        </w:rPr>
      </w:pPr>
      <w:bookmarkStart w:colFirst="0" w:colLast="0" w:name="_z3fjhd5b2djp" w:id="2"/>
      <w:bookmarkEnd w:id="2"/>
      <w:r w:rsidDel="00000000" w:rsidR="00000000" w:rsidRPr="00000000">
        <w:rPr>
          <w:b w:val="1"/>
          <w:color w:val="202124"/>
          <w:sz w:val="36"/>
          <w:szCs w:val="36"/>
          <w:rtl w:val="0"/>
        </w:rPr>
        <w:t xml:space="preserve">Dataset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pPr>
      <w:bookmarkStart w:colFirst="0" w:colLast="0" w:name="_iksmxk13jx1m" w:id="3"/>
      <w:bookmarkEnd w:id="3"/>
      <w:r w:rsidDel="00000000" w:rsidR="00000000" w:rsidRPr="00000000">
        <w:rPr>
          <w:b w:val="1"/>
          <w:color w:val="202124"/>
          <w:sz w:val="24"/>
          <w:szCs w:val="24"/>
          <w:rtl w:val="0"/>
        </w:rPr>
        <w:t xml:space="preserve">Context</w:t>
      </w:r>
      <w:r w:rsidDel="00000000" w:rsidR="00000000" w:rsidRPr="00000000">
        <w:rPr>
          <w:rtl w:val="0"/>
        </w:rPr>
      </w:r>
    </w:p>
    <w:p w:rsidR="00000000" w:rsidDel="00000000" w:rsidP="00000000" w:rsidRDefault="00000000" w:rsidRPr="00000000" w14:paraId="00000005">
      <w:pPr>
        <w:rPr>
          <w:color w:val="202122"/>
          <w:sz w:val="21"/>
          <w:szCs w:val="21"/>
          <w:highlight w:val="white"/>
        </w:rPr>
      </w:pPr>
      <w:r w:rsidDel="00000000" w:rsidR="00000000" w:rsidRPr="00000000">
        <w:rPr>
          <w:color w:val="202122"/>
          <w:sz w:val="21"/>
          <w:szCs w:val="21"/>
          <w:highlight w:val="white"/>
          <w:rtl w:val="0"/>
        </w:rPr>
        <w:t xml:space="preserve">The </w:t>
      </w:r>
      <w:r w:rsidDel="00000000" w:rsidR="00000000" w:rsidRPr="00000000">
        <w:rPr>
          <w:b w:val="1"/>
          <w:color w:val="202122"/>
          <w:sz w:val="21"/>
          <w:szCs w:val="21"/>
          <w:highlight w:val="white"/>
          <w:rtl w:val="0"/>
        </w:rPr>
        <w:t xml:space="preserve">IBEX 35</w:t>
      </w:r>
      <w:r w:rsidDel="00000000" w:rsidR="00000000" w:rsidRPr="00000000">
        <w:rPr>
          <w:color w:val="202122"/>
          <w:sz w:val="21"/>
          <w:szCs w:val="21"/>
          <w:highlight w:val="white"/>
          <w:rtl w:val="0"/>
        </w:rPr>
        <w:t xml:space="preserve"> (IBerian IndEX) is the benchmark </w:t>
      </w:r>
      <w:hyperlink r:id="rId6">
        <w:r w:rsidDel="00000000" w:rsidR="00000000" w:rsidRPr="00000000">
          <w:rPr>
            <w:color w:val="3366cc"/>
            <w:sz w:val="21"/>
            <w:szCs w:val="21"/>
            <w:highlight w:val="white"/>
            <w:rtl w:val="0"/>
          </w:rPr>
          <w:t xml:space="preserve">stock market index</w:t>
        </w:r>
      </w:hyperlink>
      <w:r w:rsidDel="00000000" w:rsidR="00000000" w:rsidRPr="00000000">
        <w:rPr>
          <w:color w:val="202122"/>
          <w:sz w:val="21"/>
          <w:szCs w:val="21"/>
          <w:highlight w:val="white"/>
          <w:rtl w:val="0"/>
        </w:rPr>
        <w:t xml:space="preserve"> of the </w:t>
      </w:r>
      <w:hyperlink r:id="rId7">
        <w:r w:rsidDel="00000000" w:rsidR="00000000" w:rsidRPr="00000000">
          <w:rPr>
            <w:color w:val="3366cc"/>
            <w:sz w:val="21"/>
            <w:szCs w:val="21"/>
            <w:highlight w:val="white"/>
            <w:rtl w:val="0"/>
          </w:rPr>
          <w:t xml:space="preserve">Bolsa de Madrid</w:t>
        </w:r>
      </w:hyperlink>
      <w:r w:rsidDel="00000000" w:rsidR="00000000" w:rsidRPr="00000000">
        <w:rPr>
          <w:color w:val="202122"/>
          <w:sz w:val="21"/>
          <w:szCs w:val="21"/>
          <w:highlight w:val="white"/>
          <w:rtl w:val="0"/>
        </w:rPr>
        <w:t xml:space="preserve">, Spain's principal </w:t>
      </w:r>
      <w:hyperlink r:id="rId8">
        <w:r w:rsidDel="00000000" w:rsidR="00000000" w:rsidRPr="00000000">
          <w:rPr>
            <w:color w:val="3366cc"/>
            <w:sz w:val="21"/>
            <w:szCs w:val="21"/>
            <w:highlight w:val="white"/>
            <w:rtl w:val="0"/>
          </w:rPr>
          <w:t xml:space="preserve">stock exchange</w:t>
        </w:r>
      </w:hyperlink>
      <w:r w:rsidDel="00000000" w:rsidR="00000000" w:rsidRPr="00000000">
        <w:rPr>
          <w:color w:val="202122"/>
          <w:sz w:val="21"/>
          <w:szCs w:val="21"/>
          <w:highlight w:val="white"/>
          <w:rtl w:val="0"/>
        </w:rPr>
        <w:t xml:space="preserve">. Initiated in 1992, the index is administered and calculated by Sociedad de Bolsas, a subsidiary of </w:t>
      </w:r>
      <w:hyperlink r:id="rId9">
        <w:r w:rsidDel="00000000" w:rsidR="00000000" w:rsidRPr="00000000">
          <w:rPr>
            <w:color w:val="3366cc"/>
            <w:sz w:val="21"/>
            <w:szCs w:val="21"/>
            <w:highlight w:val="white"/>
            <w:rtl w:val="0"/>
          </w:rPr>
          <w:t xml:space="preserve">Bolsas y Mercados Españoles</w:t>
        </w:r>
      </w:hyperlink>
      <w:r w:rsidDel="00000000" w:rsidR="00000000" w:rsidRPr="00000000">
        <w:rPr>
          <w:color w:val="202122"/>
          <w:sz w:val="21"/>
          <w:szCs w:val="21"/>
          <w:highlight w:val="white"/>
          <w:rtl w:val="0"/>
        </w:rPr>
        <w:t xml:space="preserve"> (BME), the company which runs Spain's securities markets (including the Bolsa de Madrid). It is a market capitalization weighted index comprising the 35 most </w:t>
      </w:r>
      <w:hyperlink r:id="rId10">
        <w:r w:rsidDel="00000000" w:rsidR="00000000" w:rsidRPr="00000000">
          <w:rPr>
            <w:color w:val="3366cc"/>
            <w:sz w:val="21"/>
            <w:szCs w:val="21"/>
            <w:highlight w:val="white"/>
            <w:rtl w:val="0"/>
          </w:rPr>
          <w:t xml:space="preserve">liquid</w:t>
        </w:r>
      </w:hyperlink>
      <w:r w:rsidDel="00000000" w:rsidR="00000000" w:rsidRPr="00000000">
        <w:rPr>
          <w:color w:val="202122"/>
          <w:sz w:val="21"/>
          <w:szCs w:val="21"/>
          <w:highlight w:val="white"/>
          <w:rtl w:val="0"/>
        </w:rPr>
        <w:t xml:space="preserve"> Spanish stocks traded in the </w:t>
      </w:r>
      <w:hyperlink r:id="rId11">
        <w:r w:rsidDel="00000000" w:rsidR="00000000" w:rsidRPr="00000000">
          <w:rPr>
            <w:color w:val="3366cc"/>
            <w:sz w:val="21"/>
            <w:szCs w:val="21"/>
            <w:highlight w:val="white"/>
            <w:rtl w:val="0"/>
          </w:rPr>
          <w:t xml:space="preserve">Madrid Stock Exchange General Index</w:t>
        </w:r>
      </w:hyperlink>
      <w:r w:rsidDel="00000000" w:rsidR="00000000" w:rsidRPr="00000000">
        <w:rPr>
          <w:color w:val="202122"/>
          <w:sz w:val="21"/>
          <w:szCs w:val="21"/>
          <w:highlight w:val="white"/>
          <w:rtl w:val="0"/>
        </w:rPr>
        <w:t xml:space="preserve"> and is reviewed twice annually. Trading on </w:t>
      </w:r>
      <w:hyperlink r:id="rId12">
        <w:r w:rsidDel="00000000" w:rsidR="00000000" w:rsidRPr="00000000">
          <w:rPr>
            <w:color w:val="3366cc"/>
            <w:sz w:val="21"/>
            <w:szCs w:val="21"/>
            <w:highlight w:val="white"/>
            <w:rtl w:val="0"/>
          </w:rPr>
          <w:t xml:space="preserve">options</w:t>
        </w:r>
      </w:hyperlink>
      <w:r w:rsidDel="00000000" w:rsidR="00000000" w:rsidRPr="00000000">
        <w:rPr>
          <w:color w:val="202122"/>
          <w:sz w:val="21"/>
          <w:szCs w:val="21"/>
          <w:highlight w:val="white"/>
          <w:rtl w:val="0"/>
        </w:rPr>
        <w:t xml:space="preserve"> and </w:t>
      </w:r>
      <w:hyperlink r:id="rId13">
        <w:r w:rsidDel="00000000" w:rsidR="00000000" w:rsidRPr="00000000">
          <w:rPr>
            <w:color w:val="3366cc"/>
            <w:sz w:val="21"/>
            <w:szCs w:val="21"/>
            <w:highlight w:val="white"/>
            <w:rtl w:val="0"/>
          </w:rPr>
          <w:t xml:space="preserve">futures contracts</w:t>
        </w:r>
      </w:hyperlink>
      <w:r w:rsidDel="00000000" w:rsidR="00000000" w:rsidRPr="00000000">
        <w:rPr>
          <w:color w:val="202122"/>
          <w:sz w:val="21"/>
          <w:szCs w:val="21"/>
          <w:highlight w:val="white"/>
          <w:rtl w:val="0"/>
        </w:rPr>
        <w:t xml:space="preserve"> on the IBEX 35 is provided by MEFF (Mercado Español de Futuros Financieros), another subsidiary of BME.</w:t>
      </w:r>
    </w:p>
    <w:p w:rsidR="00000000" w:rsidDel="00000000" w:rsidP="00000000" w:rsidRDefault="00000000" w:rsidRPr="00000000" w14:paraId="00000006">
      <w:pPr>
        <w:rPr>
          <w:color w:val="202122"/>
          <w:sz w:val="21"/>
          <w:szCs w:val="21"/>
          <w:highlight w:val="white"/>
        </w:rPr>
      </w:pPr>
      <w:r w:rsidDel="00000000" w:rsidR="00000000" w:rsidRPr="00000000">
        <w:rPr>
          <w:rtl w:val="0"/>
        </w:rPr>
      </w:r>
    </w:p>
    <w:p w:rsidR="00000000" w:rsidDel="00000000" w:rsidP="00000000" w:rsidRDefault="00000000" w:rsidRPr="00000000" w14:paraId="00000007">
      <w:pPr>
        <w:rPr>
          <w:color w:val="202122"/>
          <w:sz w:val="21"/>
          <w:szCs w:val="21"/>
          <w:highlight w:val="white"/>
        </w:rPr>
      </w:pPr>
      <w:r w:rsidDel="00000000" w:rsidR="00000000" w:rsidRPr="00000000">
        <w:rPr>
          <w:color w:val="202122"/>
          <w:sz w:val="21"/>
          <w:szCs w:val="21"/>
          <w:highlight w:val="white"/>
          <w:rtl w:val="0"/>
        </w:rPr>
        <w:t xml:space="preserve">The composition of the IBEX 35 is reviewed twice per year (in June and December) by the so-called Technical Advisory Committee, which consists of "representatives of the </w:t>
      </w:r>
      <w:hyperlink r:id="rId14">
        <w:r w:rsidDel="00000000" w:rsidR="00000000" w:rsidRPr="00000000">
          <w:rPr>
            <w:color w:val="202122"/>
            <w:sz w:val="21"/>
            <w:szCs w:val="21"/>
            <w:highlight w:val="white"/>
            <w:rtl w:val="0"/>
          </w:rPr>
          <w:t xml:space="preserve">stock exchanges</w:t>
        </w:r>
      </w:hyperlink>
      <w:r w:rsidDel="00000000" w:rsidR="00000000" w:rsidRPr="00000000">
        <w:rPr>
          <w:color w:val="202122"/>
          <w:sz w:val="21"/>
          <w:szCs w:val="21"/>
          <w:highlight w:val="white"/>
          <w:rtl w:val="0"/>
        </w:rPr>
        <w:t xml:space="preserve"> and </w:t>
      </w:r>
      <w:hyperlink r:id="rId15">
        <w:r w:rsidDel="00000000" w:rsidR="00000000" w:rsidRPr="00000000">
          <w:rPr>
            <w:color w:val="202122"/>
            <w:sz w:val="21"/>
            <w:szCs w:val="21"/>
            <w:highlight w:val="white"/>
            <w:rtl w:val="0"/>
          </w:rPr>
          <w:t xml:space="preserve">derivatives</w:t>
        </w:r>
      </w:hyperlink>
      <w:r w:rsidDel="00000000" w:rsidR="00000000" w:rsidRPr="00000000">
        <w:rPr>
          <w:color w:val="202122"/>
          <w:sz w:val="21"/>
          <w:szCs w:val="21"/>
          <w:highlight w:val="white"/>
          <w:rtl w:val="0"/>
        </w:rPr>
        <w:t xml:space="preserve"> markets, as well as... renowned experts from the </w:t>
      </w:r>
      <w:hyperlink r:id="rId16">
        <w:r w:rsidDel="00000000" w:rsidR="00000000" w:rsidRPr="00000000">
          <w:rPr>
            <w:color w:val="202122"/>
            <w:sz w:val="21"/>
            <w:szCs w:val="21"/>
            <w:highlight w:val="white"/>
            <w:rtl w:val="0"/>
          </w:rPr>
          <w:t xml:space="preserve">academic</w:t>
        </w:r>
      </w:hyperlink>
      <w:r w:rsidDel="00000000" w:rsidR="00000000" w:rsidRPr="00000000">
        <w:rPr>
          <w:color w:val="202122"/>
          <w:sz w:val="21"/>
          <w:szCs w:val="21"/>
          <w:highlight w:val="white"/>
          <w:rtl w:val="0"/>
        </w:rPr>
        <w:t xml:space="preserve"> and financial fields". If any changes are made, they come into effect the following trading day after the third Friday of the rebalance month. In general, at each review, the 35 companies with the highest trading volume in </w:t>
      </w:r>
      <w:hyperlink r:id="rId17">
        <w:r w:rsidDel="00000000" w:rsidR="00000000" w:rsidRPr="00000000">
          <w:rPr>
            <w:color w:val="202122"/>
            <w:sz w:val="21"/>
            <w:szCs w:val="21"/>
            <w:highlight w:val="white"/>
            <w:rtl w:val="0"/>
          </w:rPr>
          <w:t xml:space="preserve">Euros</w:t>
        </w:r>
      </w:hyperlink>
      <w:r w:rsidDel="00000000" w:rsidR="00000000" w:rsidRPr="00000000">
        <w:rPr>
          <w:color w:val="202122"/>
          <w:sz w:val="21"/>
          <w:szCs w:val="21"/>
          <w:highlight w:val="white"/>
          <w:rtl w:val="0"/>
        </w:rPr>
        <w:t xml:space="preserve"> over the previous six months are chosen for inclusion in the index, provided that the average </w:t>
      </w:r>
      <w:hyperlink r:id="rId18">
        <w:r w:rsidDel="00000000" w:rsidR="00000000" w:rsidRPr="00000000">
          <w:rPr>
            <w:color w:val="202122"/>
            <w:sz w:val="21"/>
            <w:szCs w:val="21"/>
            <w:highlight w:val="white"/>
            <w:rtl w:val="0"/>
          </w:rPr>
          <w:t xml:space="preserve">free float</w:t>
        </w:r>
      </w:hyperlink>
      <w:r w:rsidDel="00000000" w:rsidR="00000000" w:rsidRPr="00000000">
        <w:rPr>
          <w:color w:val="202122"/>
          <w:sz w:val="21"/>
          <w:szCs w:val="21"/>
          <w:highlight w:val="white"/>
          <w:rtl w:val="0"/>
        </w:rPr>
        <w:t xml:space="preserve"> </w:t>
      </w:r>
      <w:hyperlink r:id="rId19">
        <w:r w:rsidDel="00000000" w:rsidR="00000000" w:rsidRPr="00000000">
          <w:rPr>
            <w:color w:val="202122"/>
            <w:sz w:val="21"/>
            <w:szCs w:val="21"/>
            <w:highlight w:val="white"/>
            <w:rtl w:val="0"/>
          </w:rPr>
          <w:t xml:space="preserve">market capitalization</w:t>
        </w:r>
      </w:hyperlink>
      <w:r w:rsidDel="00000000" w:rsidR="00000000" w:rsidRPr="00000000">
        <w:rPr>
          <w:color w:val="202122"/>
          <w:sz w:val="21"/>
          <w:szCs w:val="21"/>
          <w:highlight w:val="white"/>
          <w:rtl w:val="0"/>
        </w:rPr>
        <w:t xml:space="preserve"> of the stock is at least 0.3% of the total market cap of the index. Any candidate stock must also have either been traded on at least a third of all trading days in the previous six months, or rank in the top twenty overall in market cap (thus allowing large recently </w:t>
      </w:r>
      <w:hyperlink r:id="rId20">
        <w:r w:rsidDel="00000000" w:rsidR="00000000" w:rsidRPr="00000000">
          <w:rPr>
            <w:color w:val="202122"/>
            <w:sz w:val="21"/>
            <w:szCs w:val="21"/>
            <w:highlight w:val="white"/>
            <w:rtl w:val="0"/>
          </w:rPr>
          <w:t xml:space="preserve">IPOed</w:t>
        </w:r>
      </w:hyperlink>
      <w:r w:rsidDel="00000000" w:rsidR="00000000" w:rsidRPr="00000000">
        <w:rPr>
          <w:color w:val="202122"/>
          <w:sz w:val="21"/>
          <w:szCs w:val="21"/>
          <w:highlight w:val="white"/>
          <w:rtl w:val="0"/>
        </w:rPr>
        <w:t xml:space="preserve"> companies to be included).</w:t>
      </w:r>
    </w:p>
    <w:p w:rsidR="00000000" w:rsidDel="00000000" w:rsidP="00000000" w:rsidRDefault="00000000" w:rsidRPr="00000000" w14:paraId="00000008">
      <w:pPr>
        <w:rPr>
          <w:color w:val="202122"/>
          <w:sz w:val="21"/>
          <w:szCs w:val="21"/>
          <w:highlight w:val="white"/>
        </w:rPr>
      </w:pP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62m8o07fbf79" w:id="4"/>
      <w:bookmarkEnd w:id="4"/>
      <w:r w:rsidDel="00000000" w:rsidR="00000000" w:rsidRPr="00000000">
        <w:rPr>
          <w:b w:val="1"/>
          <w:color w:val="202124"/>
          <w:sz w:val="24"/>
          <w:szCs w:val="24"/>
          <w:rtl w:val="0"/>
        </w:rPr>
        <w:t xml:space="preserve">Content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35</w:t>
      </w:r>
      <w:r w:rsidDel="00000000" w:rsidR="00000000" w:rsidRPr="00000000">
        <w:rPr>
          <w:color w:val="3c4043"/>
          <w:sz w:val="21"/>
          <w:szCs w:val="21"/>
          <w:rtl w:val="0"/>
        </w:rPr>
        <w:t xml:space="preserve"> rows and 9 columns.</w:t>
        <w:br w:type="textWrapping"/>
        <w:t xml:space="preserve">Columns' descriptions are listed below.</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Nombre</w:t>
      </w:r>
      <w:r w:rsidDel="00000000" w:rsidR="00000000" w:rsidRPr="00000000">
        <w:rPr>
          <w:color w:val="3c4043"/>
          <w:sz w:val="21"/>
          <w:szCs w:val="21"/>
          <w:rtl w:val="0"/>
        </w:rPr>
        <w:t xml:space="preserve">: Nombre de la empresa o compañía cotizada en el IBEX35</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Último</w:t>
      </w:r>
      <w:r w:rsidDel="00000000" w:rsidR="00000000" w:rsidRPr="00000000">
        <w:rPr>
          <w:color w:val="3c4043"/>
          <w:sz w:val="21"/>
          <w:szCs w:val="21"/>
          <w:rtl w:val="0"/>
        </w:rPr>
        <w:t xml:space="preserve">: Valor más reciente registrado para la acción de la empresa en la bolsa</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 Dif</w:t>
      </w:r>
      <w:r w:rsidDel="00000000" w:rsidR="00000000" w:rsidRPr="00000000">
        <w:rPr>
          <w:color w:val="3c4043"/>
          <w:sz w:val="21"/>
          <w:szCs w:val="21"/>
          <w:rtl w:val="0"/>
        </w:rPr>
        <w:t xml:space="preserve">.: Porcentaje de variación o diferencia entre el valor actual y el valor anterior, indicando la fluctuación del precio</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Máximo</w:t>
      </w:r>
      <w:r w:rsidDel="00000000" w:rsidR="00000000" w:rsidRPr="00000000">
        <w:rPr>
          <w:color w:val="3c4043"/>
          <w:sz w:val="21"/>
          <w:szCs w:val="21"/>
          <w:rtl w:val="0"/>
        </w:rPr>
        <w:t xml:space="preserve">: Valor máximo alcanzado por la acción en el período especificado.</w:t>
      </w: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Mínimo</w:t>
      </w:r>
      <w:r w:rsidDel="00000000" w:rsidR="00000000" w:rsidRPr="00000000">
        <w:rPr>
          <w:color w:val="3c4043"/>
          <w:sz w:val="21"/>
          <w:szCs w:val="21"/>
          <w:rtl w:val="0"/>
        </w:rPr>
        <w:t xml:space="preserve">: Valor mínimo alcanzado por la acción en el período especificado</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Volumen</w:t>
      </w:r>
      <w:r w:rsidDel="00000000" w:rsidR="00000000" w:rsidRPr="00000000">
        <w:rPr>
          <w:color w:val="3c4043"/>
          <w:sz w:val="21"/>
          <w:szCs w:val="21"/>
          <w:rtl w:val="0"/>
        </w:rPr>
        <w:t xml:space="preserve">: Cantidad total de acciones negociadas en el mercado durante un período de tiempo determinado.</w:t>
      </w: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Efectivo</w:t>
      </w:r>
      <w:r w:rsidDel="00000000" w:rsidR="00000000" w:rsidRPr="00000000">
        <w:rPr>
          <w:color w:val="3c4043"/>
          <w:sz w:val="21"/>
          <w:szCs w:val="21"/>
          <w:rtl w:val="0"/>
        </w:rPr>
        <w:t xml:space="preserve">: Monto total negociado en la compra y venta de las acciones durante el período especificado.</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Fecha</w:t>
      </w:r>
      <w:r w:rsidDel="00000000" w:rsidR="00000000" w:rsidRPr="00000000">
        <w:rPr>
          <w:color w:val="3c4043"/>
          <w:sz w:val="21"/>
          <w:szCs w:val="21"/>
          <w:rtl w:val="0"/>
        </w:rPr>
        <w:t xml:space="preserve">: Fecha en la que se registraron los datos de los valores del IBEX35.</w:t>
      </w: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rPr>
      </w:pPr>
      <w:r w:rsidDel="00000000" w:rsidR="00000000" w:rsidRPr="00000000">
        <w:rPr>
          <w:b w:val="1"/>
          <w:color w:val="3c4043"/>
          <w:sz w:val="21"/>
          <w:szCs w:val="21"/>
          <w:rtl w:val="0"/>
        </w:rPr>
        <w:t xml:space="preserve">Hora</w:t>
      </w:r>
      <w:r w:rsidDel="00000000" w:rsidR="00000000" w:rsidRPr="00000000">
        <w:rPr>
          <w:color w:val="3c4043"/>
          <w:sz w:val="21"/>
          <w:szCs w:val="21"/>
          <w:rtl w:val="0"/>
        </w:rPr>
        <w:t xml:space="preserve">: Hora exacta en la que se registraron los datos de los valores del IBEX35.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itial_public_offering" TargetMode="External"/><Relationship Id="rId11" Type="http://schemas.openxmlformats.org/officeDocument/2006/relationships/hyperlink" Target="https://en.wikipedia.org/wiki/Madrid_Stock_Exchange_General_Index" TargetMode="External"/><Relationship Id="rId10" Type="http://schemas.openxmlformats.org/officeDocument/2006/relationships/hyperlink" Target="https://en.wikipedia.org/wiki/Market_liquidity" TargetMode="External"/><Relationship Id="rId13" Type="http://schemas.openxmlformats.org/officeDocument/2006/relationships/hyperlink" Target="https://en.wikipedia.org/wiki/Futures_contract" TargetMode="External"/><Relationship Id="rId12" Type="http://schemas.openxmlformats.org/officeDocument/2006/relationships/hyperlink" Target="https://en.wikipedia.org/wiki/Option_(fin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olsas_y_Mercados_Espa%C3%B1oles" TargetMode="External"/><Relationship Id="rId15" Type="http://schemas.openxmlformats.org/officeDocument/2006/relationships/hyperlink" Target="https://en.wikipedia.org/wiki/Derivative_(finance)" TargetMode="External"/><Relationship Id="rId14" Type="http://schemas.openxmlformats.org/officeDocument/2006/relationships/hyperlink" Target="https://en.wikipedia.org/wiki/Stock_exchange" TargetMode="External"/><Relationship Id="rId17" Type="http://schemas.openxmlformats.org/officeDocument/2006/relationships/hyperlink" Target="https://en.wikipedia.org/wiki/Euro" TargetMode="External"/><Relationship Id="rId16" Type="http://schemas.openxmlformats.org/officeDocument/2006/relationships/hyperlink" Target="https://en.wikipedia.org/wiki/Academia" TargetMode="External"/><Relationship Id="rId5" Type="http://schemas.openxmlformats.org/officeDocument/2006/relationships/styles" Target="styles.xml"/><Relationship Id="rId19" Type="http://schemas.openxmlformats.org/officeDocument/2006/relationships/hyperlink" Target="https://en.wikipedia.org/wiki/Market_capitalization" TargetMode="External"/><Relationship Id="rId6" Type="http://schemas.openxmlformats.org/officeDocument/2006/relationships/hyperlink" Target="https://en.wikipedia.org/wiki/Stock_market_index" TargetMode="External"/><Relationship Id="rId18" Type="http://schemas.openxmlformats.org/officeDocument/2006/relationships/hyperlink" Target="https://en.wikipedia.org/wiki/Float_(finance)" TargetMode="External"/><Relationship Id="rId7" Type="http://schemas.openxmlformats.org/officeDocument/2006/relationships/hyperlink" Target="https://en.wikipedia.org/wiki/Bolsa_de_Madrid" TargetMode="External"/><Relationship Id="rId8" Type="http://schemas.openxmlformats.org/officeDocument/2006/relationships/hyperlink" Target="https://en.wikipedia.org/wiki/Stock_exchan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