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r>
        <w:t xml:space="preserve"/>
      </w:r>
    </w:p>
    <w:p>
      <w:pPr>
        <w:spacing w:before="0" w:after="80"/>
        <w:jc w:val="center"/>
      </w:pPr>
      <w:r>
        <w:rPr>
          <w:rFonts w:ascii="Arial" w:cs="Arial" w:eastAsia="Arial" w:hAnsi="Arial"/>
          <w:b/>
          <w:bCs/>
          <w:color w:val="C9A84C"/>
          <w:spacing w:val="200"/>
          <w:sz w:val="28"/>
          <w:szCs w:val="28"/>
        </w:rPr>
        <w:t xml:space="preserve">BUSINESS CASE</w:t>
      </w:r>
    </w:p>
    <w:p>
      <w:pPr>
        <w:pBdr>
          <w:bottom w:val="single" w:color="2E75B6" w:sz="12" w:space="8"/>
        </w:pBdr>
        <w:spacing w:before="0" w:after="120"/>
        <w:jc w:val="center"/>
      </w:pPr>
      <w:r>
        <w:rPr>
          <w:rFonts w:ascii="Arial" w:cs="Arial" w:eastAsia="Arial" w:hAnsi="Arial"/>
          <w:b/>
          <w:bCs/>
          <w:color w:val="1F3864"/>
          <w:sz w:val="46"/>
          <w:szCs w:val="46"/>
        </w:rPr>
        <w:t xml:space="preserve">Reducing Rework in Credit Card Loan Closing</w:t>
      </w:r>
    </w:p>
    <w:p>
      <w:pPr>
        <w:spacing w:before="0" w:after="60"/>
      </w:pPr>
      <w:r>
        <w:t xml:space="preserve"/>
      </w:r>
    </w:p>
    <w:p>
      <w:pPr>
        <w:spacing w:before="0" w:after="400"/>
        <w:jc w:val="center"/>
      </w:pPr>
      <w:r>
        <w:rPr>
          <w:rFonts w:ascii="Arial" w:cs="Arial" w:eastAsia="Arial" w:hAnsi="Arial"/>
          <w:i/>
          <w:iCs/>
          <w:color w:val="2E75B6"/>
          <w:sz w:val="26"/>
          <w:szCs w:val="26"/>
        </w:rPr>
        <w:t xml:space="preserve">Improving Cycle Time, Measurement Integrity, and Upstream Quality</w:t>
      </w:r>
    </w:p>
    <w:p>
      <w:pPr>
        <w:spacing w:before="0" w:after="20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before="0" w:after="0"/>
            </w:pPr>
            <w:r>
              <w:rPr>
                <w:rFonts w:ascii="Arial" w:cs="Arial" w:eastAsia="Arial" w:hAnsi="Arial"/>
                <w:b/>
                <w:bCs/>
                <w:color w:val="595959"/>
                <w:sz w:val="20"/>
                <w:szCs w:val="20"/>
              </w:rPr>
              <w:t xml:space="preserve">Prepared by:</w:t>
            </w:r>
          </w:p>
        </w:tc>
        <w:tc>
          <w:tcPr>
            <w:tcW w:type="dxa" w:w="3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before="0" w:after="0"/>
            </w:pPr>
            <w:r>
              <w:rPr>
                <w:rFonts w:ascii="Arial" w:cs="Arial" w:eastAsia="Arial" w:hAnsi="Arial"/>
                <w:color w:val="000000"/>
                <w:sz w:val="20"/>
                <w:szCs w:val="20"/>
              </w:rPr>
              <w:t xml:space="preserve">[Your Name / Title]</w:t>
            </w:r>
          </w:p>
        </w:tc>
      </w:tr>
      <w:tr>
        <w:tc>
          <w:tcPr>
            <w:tcW w:type="dxa" w:w="2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before="0" w:after="0"/>
            </w:pPr>
            <w:r>
              <w:rPr>
                <w:rFonts w:ascii="Arial" w:cs="Arial" w:eastAsia="Arial" w:hAnsi="Arial"/>
                <w:b/>
                <w:bCs/>
                <w:color w:val="595959"/>
                <w:sz w:val="20"/>
                <w:szCs w:val="20"/>
              </w:rPr>
              <w:t xml:space="preserve">Date:</w:t>
            </w:r>
          </w:p>
        </w:tc>
        <w:tc>
          <w:tcPr>
            <w:tcW w:type="dxa" w:w="3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before="0" w:after="0"/>
            </w:pPr>
            <w:r>
              <w:rPr>
                <w:rFonts w:ascii="Arial" w:cs="Arial" w:eastAsia="Arial" w:hAnsi="Arial"/>
                <w:color w:val="000000"/>
                <w:sz w:val="20"/>
                <w:szCs w:val="20"/>
              </w:rPr>
              <w:t xml:space="preserve">March 2026</w:t>
            </w:r>
          </w:p>
        </w:tc>
      </w:tr>
      <w:tr>
        <w:tc>
          <w:tcPr>
            <w:tcW w:type="dxa" w:w="2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before="0" w:after="0"/>
            </w:pPr>
            <w:r>
              <w:rPr>
                <w:rFonts w:ascii="Arial" w:cs="Arial" w:eastAsia="Arial" w:hAnsi="Arial"/>
                <w:b/>
                <w:bCs/>
                <w:color w:val="595959"/>
                <w:sz w:val="20"/>
                <w:szCs w:val="20"/>
              </w:rPr>
              <w:t xml:space="preserve">Data Period:</w:t>
            </w:r>
          </w:p>
        </w:tc>
        <w:tc>
          <w:tcPr>
            <w:tcW w:type="dxa" w:w="3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before="0" w:after="0"/>
            </w:pPr>
            <w:r>
              <w:rPr>
                <w:rFonts w:ascii="Arial" w:cs="Arial" w:eastAsia="Arial" w:hAnsi="Arial"/>
                <w:color w:val="000000"/>
                <w:sz w:val="20"/>
                <w:szCs w:val="20"/>
              </w:rPr>
              <w:t xml:space="preserve">January 1 – March 16, 2026 (Booked Loans)</w:t>
            </w:r>
          </w:p>
        </w:tc>
      </w:tr>
      <w:tr>
        <w:tc>
          <w:tcPr>
            <w:tcW w:type="dxa" w:w="2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before="0" w:after="0"/>
            </w:pPr>
            <w:r>
              <w:rPr>
                <w:rFonts w:ascii="Arial" w:cs="Arial" w:eastAsia="Arial" w:hAnsi="Arial"/>
                <w:b/>
                <w:bCs/>
                <w:color w:val="595959"/>
                <w:sz w:val="20"/>
                <w:szCs w:val="20"/>
              </w:rPr>
              <w:t xml:space="preserve">Portfolios:</w:t>
            </w:r>
          </w:p>
        </w:tc>
        <w:tc>
          <w:tcPr>
            <w:tcW w:type="dxa" w:w="3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before="0" w:after="0"/>
            </w:pPr>
            <w:r>
              <w:rPr>
                <w:rFonts w:ascii="Arial" w:cs="Arial" w:eastAsia="Arial" w:hAnsi="Arial"/>
                <w:color w:val="000000"/>
                <w:sz w:val="20"/>
                <w:szCs w:val="20"/>
              </w:rPr>
              <w:t xml:space="preserve">Business Banking – Credit Card; Consumer – Credit Card</w:t>
            </w:r>
          </w:p>
        </w:tc>
      </w:tr>
      <w:tr>
        <w:tc>
          <w:tcPr>
            <w:tcW w:type="dxa" w:w="2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before="0" w:after="0"/>
            </w:pPr>
            <w:r>
              <w:rPr>
                <w:rFonts w:ascii="Arial" w:cs="Arial" w:eastAsia="Arial" w:hAnsi="Arial"/>
                <w:b/>
                <w:bCs/>
                <w:color w:val="595959"/>
                <w:sz w:val="20"/>
                <w:szCs w:val="20"/>
              </w:rPr>
              <w:t xml:space="preserve">Version:</w:t>
            </w:r>
          </w:p>
        </w:tc>
        <w:tc>
          <w:tcPr>
            <w:tcW w:type="dxa" w:w="3200"/>
            <w:tcBorders>
              <w:top w:val="none" w:color="FFFFFF" w:sz="0"/>
              <w:left w:val="none" w:color="FFFFFF" w:sz="0"/>
              <w:bottom w:val="none" w:color="FFFFFF" w:sz="0"/>
              <w:right w:val="none" w:color="FFFFFF" w:sz="0"/>
            </w:tcBorders>
            <w:shd w:fill="F2F2F2" w:val="clear"/>
            <w:tcMar>
              <w:top w:type="dxa" w:w="80"/>
              <w:left w:type="dxa" w:w="120"/>
              <w:bottom w:type="dxa" w:w="80"/>
              <w:right w:type="dxa" w:w="120"/>
            </w:tcMar>
          </w:tcPr>
          <w:p>
            <w:pPr>
              <w:spacing w:before="0" w:after="0"/>
            </w:pPr>
            <w:r>
              <w:rPr>
                <w:rFonts w:ascii="Arial" w:cs="Arial" w:eastAsia="Arial" w:hAnsi="Arial"/>
                <w:color w:val="000000"/>
                <w:sz w:val="20"/>
                <w:szCs w:val="20"/>
              </w:rPr>
              <w:t xml:space="preserve">4.0 — Final Draft</w:t>
            </w:r>
          </w:p>
        </w:tc>
      </w:tr>
    </w:tbl>
    <w:p>
      <w:r>
        <w:br w:type="page"/>
      </w:r>
    </w:p>
    <w:p>
      <w:pPr>
        <w:pStyle w:val="Heading1"/>
        <w:pBdr>
          <w:bottom w:val="single" w:color="2E75B6" w:sz="8" w:space="4"/>
        </w:pBdr>
        <w:spacing w:before="400" w:after="160"/>
      </w:pPr>
      <w:r>
        <w:rPr>
          <w:rFonts w:ascii="Arial" w:cs="Arial" w:eastAsia="Arial" w:hAnsi="Arial"/>
          <w:b/>
          <w:bCs/>
          <w:color w:val="1F3864"/>
          <w:sz w:val="32"/>
          <w:szCs w:val="32"/>
        </w:rPr>
        <w:t xml:space="preserve">1. Executive Summary</w:t>
      </w:r>
    </w:p>
    <w:p>
      <w:pPr>
        <w:spacing w:before="80" w:after="80"/>
      </w:pPr>
      <w:r>
        <w:rPr>
          <w:rFonts w:ascii="Arial" w:cs="Arial" w:eastAsia="Arial" w:hAnsi="Arial"/>
          <w:color w:val="000000"/>
          <w:sz w:val="22"/>
          <w:szCs w:val="22"/>
        </w:rPr>
        <w:t xml:space="preserve">Cycle-time analysis of booked credit card loans from January 1 through March 16, 2026 reveals a significant and addressable problem: the majority of reported Closing stage time across both credit card portfolios is not time spent closing loans. It is wait time while upstream parties — bankers, underwriters, and doc prep teams — correct errors and incomplete documentation that the Closing team identified and returned.</w:t>
      </w:r>
    </w:p>
    <w:p>
      <w:pPr>
        <w:spacing w:before="80" w:after="80"/>
      </w:pPr>
      <w:r>
        <w:rPr>
          <w:rFonts w:ascii="Arial" w:cs="Arial" w:eastAsia="Arial" w:hAnsi="Arial"/>
          <w:color w:val="000000"/>
          <w:sz w:val="22"/>
          <w:szCs w:val="22"/>
        </w:rPr>
        <w:t xml:space="preserve">The Closing team does not perform this correction work. They send the application back, wait for it to return, and resume processing. The current reporting methodology counts all of that wait time against Closing’s stage duration, inflating the team’s figures with delays they did not cause and cannot control.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before="0" w:after="0"/>
            </w:pPr>
            <w:r>
              <w:rPr>
                <w:rFonts w:ascii="Arial" w:cs="Arial" w:eastAsia="Arial" w:hAnsi="Arial"/>
                <w:b/>
                <w:bCs/>
                <w:color w:val="1F3864"/>
                <w:sz w:val="22"/>
                <w:szCs w:val="22"/>
              </w:rPr>
              <w:t xml:space="preserve">Core Finding:  </w:t>
            </w:r>
            <w:r>
              <w:rPr>
                <w:rFonts w:ascii="Arial" w:cs="Arial" w:eastAsia="Arial" w:hAnsi="Arial"/>
                <w:color w:val="000000"/>
                <w:sz w:val="22"/>
                <w:szCs w:val="22"/>
              </w:rPr>
              <w:t xml:space="preserve">Rework wait time accounts for 56% of reported Business Banking Closing time and 65% of reported Consumer Closing time. These are not estimates — they are direct measurements from tracked rework duration data. Eliminating a portion of this rework would reduce total application turnaround without any changes to the Closing team’s process or staffing.</w:t>
            </w:r>
          </w:p>
        </w:tc>
      </w:tr>
    </w:tbl>
    <w:p>
      <w:pPr>
        <w:spacing w:before="0" w:after="120"/>
      </w:pPr>
      <w:r>
        <w:t xml:space="preserve"/>
      </w:r>
    </w:p>
    <w:p>
      <w:pPr>
        <w:spacing w:before="80" w:after="80"/>
      </w:pPr>
      <w:r>
        <w:rPr>
          <w:rFonts w:ascii="Arial" w:cs="Arial" w:eastAsia="Arial" w:hAnsi="Arial"/>
          <w:color w:val="000000"/>
          <w:sz w:val="22"/>
          <w:szCs w:val="22"/>
        </w:rPr>
        <w:t xml:space="preserve">Task-level analysis of 523 individual rework return records provides a breakdown of deficiency types. Of the 523 tasks, 470 have been categorized; the remaining 53 (10.1%) are pending individual review. Within the 470 classified tasks:</w:t>
      </w:r>
    </w:p>
    <w:p>
      <w:pPr>
        <w:pStyle w:val="ListParagraph"/>
        <w:numPr>
          <w:ilvl w:val="0"/>
          <w:numId w:val="2"/>
        </w:numPr>
        <w:spacing w:before="60" w:after="60"/>
      </w:pPr>
      <w:r>
        <w:rPr>
          <w:rFonts w:ascii="Arial" w:cs="Arial" w:eastAsia="Arial" w:hAnsi="Arial"/>
          <w:sz w:val="22"/>
          <w:szCs w:val="22"/>
        </w:rPr>
        <w:t xml:space="preserve">Approximately 80% are application completeness failures — missing dates by signatures, missing signed documents, missing ID data in Actimize, and missing supporting forms</w:t>
      </w:r>
    </w:p>
    <w:p>
      <w:pPr>
        <w:pStyle w:val="ListParagraph"/>
        <w:numPr>
          <w:ilvl w:val="0"/>
          <w:numId w:val="2"/>
        </w:numPr>
        <w:spacing w:before="60" w:after="60"/>
      </w:pPr>
      <w:r>
        <w:rPr>
          <w:rFonts w:ascii="Arial" w:cs="Arial" w:eastAsia="Arial" w:hAnsi="Arial"/>
          <w:sz w:val="22"/>
          <w:szCs w:val="22"/>
        </w:rPr>
        <w:t xml:space="preserve">Approximately 7% are accuracy errors — information present but incorrect, such as business names entered in individual name fields or wrong TIN entries</w:t>
      </w:r>
    </w:p>
    <w:p>
      <w:pPr>
        <w:pStyle w:val="ListParagraph"/>
        <w:numPr>
          <w:ilvl w:val="0"/>
          <w:numId w:val="2"/>
        </w:numPr>
        <w:spacing w:before="60" w:after="60"/>
      </w:pPr>
      <w:r>
        <w:rPr>
          <w:rFonts w:ascii="Arial" w:cs="Arial" w:eastAsia="Arial" w:hAnsi="Arial"/>
          <w:sz w:val="22"/>
          <w:szCs w:val="22"/>
        </w:rPr>
        <w:t xml:space="preserve">Approximately 4% are systemic or process routing issues — expired approvals, Secretary of State problems, or applications submitted as new when they should be modifications</w:t>
      </w:r>
    </w:p>
    <w:p>
      <w:pPr>
        <w:spacing w:before="0" w:after="80"/>
      </w:pPr>
      <w:r>
        <w:t xml:space="preserve"/>
      </w:r>
    </w:p>
    <w:p>
      <w:pPr>
        <w:spacing w:before="80" w:after="80"/>
      </w:pPr>
      <w:r>
        <w:rPr>
          <w:rFonts w:ascii="Arial" w:cs="Arial" w:eastAsia="Arial" w:hAnsi="Arial"/>
          <w:color w:val="000000"/>
          <w:sz w:val="22"/>
          <w:szCs w:val="22"/>
        </w:rPr>
        <w:t xml:space="preserve">Within the 470 classified tasks, 86.2% are preventable at handoff through a structured pre-submission completeness and accuracy check. The true preventable share across all 523 tasks cannot be confirmed until the remaining 53 are classified, but is unlikely to fall below 80%. This business case documents the findings, quantifies the throughput impact, and proposes targeted interventions.</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
        <w:gridCol w:w="3000"/>
        <w:gridCol w:w="180"/>
        <w:gridCol w:w="3000"/>
      </w:tblGrid>
      <w:tr>
        <w:tc>
          <w:tcPr>
            <w:tcW w:type="dxa" w:w="300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spacing w:before="0" w:after="40"/>
              <w:jc w:val="center"/>
            </w:pPr>
            <w:r>
              <w:rPr>
                <w:rFonts w:ascii="Arial" w:cs="Arial" w:eastAsia="Arial" w:hAnsi="Arial"/>
                <w:b/>
                <w:bCs/>
                <w:color w:val="1F3864"/>
                <w:sz w:val="48"/>
                <w:szCs w:val="48"/>
              </w:rPr>
              <w:t xml:space="preserve">54%</w:t>
            </w:r>
          </w:p>
          <w:p>
            <w:pPr>
              <w:spacing w:before="0" w:after="20"/>
              <w:jc w:val="center"/>
            </w:pPr>
            <w:r>
              <w:rPr>
                <w:rFonts w:ascii="Arial" w:cs="Arial" w:eastAsia="Arial" w:hAnsi="Arial"/>
                <w:b/>
                <w:bCs/>
                <w:color w:val="2E75B6"/>
                <w:sz w:val="18"/>
                <w:szCs w:val="18"/>
              </w:rPr>
              <w:t xml:space="preserve">BB Rework Rate</w:t>
            </w:r>
          </w:p>
          <w:p>
            <w:pPr>
              <w:spacing w:before="0" w:after="0"/>
              <w:jc w:val="center"/>
            </w:pPr>
            <w:r>
              <w:rPr>
                <w:rFonts w:ascii="Arial" w:cs="Arial" w:eastAsia="Arial" w:hAnsi="Arial"/>
                <w:color w:val="595959"/>
                <w:sz w:val="18"/>
                <w:szCs w:val="18"/>
              </w:rPr>
              <w:t xml:space="preserve">68 of 126 booked loans</w:t>
            </w:r>
          </w:p>
        </w:tc>
        <w:tc>
          <w:tcPr>
            <w:tcW w:type="dxa" w:w="1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pPr>
            <w:r>
              <w:t xml:space="preserve"/>
            </w:r>
          </w:p>
        </w:tc>
        <w:tc>
          <w:tcPr>
            <w:tcW w:type="dxa" w:w="300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spacing w:before="0" w:after="40"/>
              <w:jc w:val="center"/>
            </w:pPr>
            <w:r>
              <w:rPr>
                <w:rFonts w:ascii="Arial" w:cs="Arial" w:eastAsia="Arial" w:hAnsi="Arial"/>
                <w:b/>
                <w:bCs/>
                <w:color w:val="1F3864"/>
                <w:sz w:val="48"/>
                <w:szCs w:val="48"/>
              </w:rPr>
              <w:t xml:space="preserve">15.9%</w:t>
            </w:r>
          </w:p>
          <w:p>
            <w:pPr>
              <w:spacing w:before="0" w:after="20"/>
              <w:jc w:val="center"/>
            </w:pPr>
            <w:r>
              <w:rPr>
                <w:rFonts w:ascii="Arial" w:cs="Arial" w:eastAsia="Arial" w:hAnsi="Arial"/>
                <w:b/>
                <w:bCs/>
                <w:color w:val="2E75B6"/>
                <w:sz w:val="18"/>
                <w:szCs w:val="18"/>
              </w:rPr>
              <w:t xml:space="preserve">Consumer Rework Rate</w:t>
            </w:r>
          </w:p>
          <w:p>
            <w:pPr>
              <w:spacing w:before="0" w:after="0"/>
              <w:jc w:val="center"/>
            </w:pPr>
            <w:r>
              <w:rPr>
                <w:rFonts w:ascii="Arial" w:cs="Arial" w:eastAsia="Arial" w:hAnsi="Arial"/>
                <w:color w:val="595959"/>
                <w:sz w:val="18"/>
                <w:szCs w:val="18"/>
              </w:rPr>
              <w:t xml:space="preserve">164 of 1,034 booked loans</w:t>
            </w:r>
          </w:p>
        </w:tc>
        <w:tc>
          <w:tcPr>
            <w:tcW w:type="dxa" w:w="1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pPr>
            <w:r>
              <w:t xml:space="preserve"/>
            </w:r>
          </w:p>
        </w:tc>
        <w:tc>
          <w:tcPr>
            <w:tcW w:type="dxa" w:w="300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spacing w:before="0" w:after="40"/>
              <w:jc w:val="center"/>
            </w:pPr>
            <w:r>
              <w:rPr>
                <w:rFonts w:ascii="Arial" w:cs="Arial" w:eastAsia="Arial" w:hAnsi="Arial"/>
                <w:b/>
                <w:bCs/>
                <w:color w:val="1F3864"/>
                <w:sz w:val="48"/>
                <w:szCs w:val="48"/>
              </w:rPr>
              <w:t xml:space="preserve">523</w:t>
            </w:r>
          </w:p>
          <w:p>
            <w:pPr>
              <w:spacing w:before="0" w:after="20"/>
              <w:jc w:val="center"/>
            </w:pPr>
            <w:r>
              <w:rPr>
                <w:rFonts w:ascii="Arial" w:cs="Arial" w:eastAsia="Arial" w:hAnsi="Arial"/>
                <w:b/>
                <w:bCs/>
                <w:color w:val="2E75B6"/>
                <w:sz w:val="18"/>
                <w:szCs w:val="18"/>
              </w:rPr>
              <w:t xml:space="preserve">Rework Tasks Analyzed</w:t>
            </w:r>
          </w:p>
          <w:p>
            <w:pPr>
              <w:spacing w:before="0" w:after="0"/>
              <w:jc w:val="center"/>
            </w:pPr>
            <w:r>
              <w:rPr>
                <w:rFonts w:ascii="Arial" w:cs="Arial" w:eastAsia="Arial" w:hAnsi="Arial"/>
                <w:color w:val="595959"/>
                <w:sz w:val="18"/>
                <w:szCs w:val="18"/>
              </w:rPr>
              <w:t xml:space="preserve">Jan 1 – Mar 16, 2026</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
        <w:gridCol w:w="3000"/>
        <w:gridCol w:w="180"/>
        <w:gridCol w:w="3000"/>
      </w:tblGrid>
      <w:tr>
        <w:tc>
          <w:tcPr>
            <w:tcW w:type="dxa" w:w="300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spacing w:before="0" w:after="40"/>
              <w:jc w:val="center"/>
            </w:pPr>
            <w:r>
              <w:rPr>
                <w:rFonts w:ascii="Arial" w:cs="Arial" w:eastAsia="Arial" w:hAnsi="Arial"/>
                <w:b/>
                <w:bCs/>
                <w:color w:val="1F3864"/>
                <w:sz w:val="48"/>
                <w:szCs w:val="48"/>
              </w:rPr>
              <w:t xml:space="preserve">3.90d</w:t>
            </w:r>
          </w:p>
          <w:p>
            <w:pPr>
              <w:spacing w:before="0" w:after="20"/>
              <w:jc w:val="center"/>
            </w:pPr>
            <w:r>
              <w:rPr>
                <w:rFonts w:ascii="Arial" w:cs="Arial" w:eastAsia="Arial" w:hAnsi="Arial"/>
                <w:b/>
                <w:bCs/>
                <w:color w:val="2E75B6"/>
                <w:sz w:val="18"/>
                <w:szCs w:val="18"/>
              </w:rPr>
              <w:t xml:space="preserve">BB Rework Wait / Loan</w:t>
            </w:r>
          </w:p>
          <w:p>
            <w:pPr>
              <w:spacing w:before="0" w:after="0"/>
              <w:jc w:val="center"/>
            </w:pPr>
            <w:r>
              <w:rPr>
                <w:rFonts w:ascii="Arial" w:cs="Arial" w:eastAsia="Arial" w:hAnsi="Arial"/>
                <w:color w:val="595959"/>
                <w:sz w:val="18"/>
                <w:szCs w:val="18"/>
              </w:rPr>
              <w:t xml:space="preserve">56% of total BB Closing time</w:t>
            </w:r>
          </w:p>
        </w:tc>
        <w:tc>
          <w:tcPr>
            <w:tcW w:type="dxa" w:w="1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pPr>
            <w:r>
              <w:t xml:space="preserve"/>
            </w:r>
          </w:p>
        </w:tc>
        <w:tc>
          <w:tcPr>
            <w:tcW w:type="dxa" w:w="300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spacing w:before="0" w:after="40"/>
              <w:jc w:val="center"/>
            </w:pPr>
            <w:r>
              <w:rPr>
                <w:rFonts w:ascii="Arial" w:cs="Arial" w:eastAsia="Arial" w:hAnsi="Arial"/>
                <w:b/>
                <w:bCs/>
                <w:color w:val="1F3864"/>
                <w:sz w:val="48"/>
                <w:szCs w:val="48"/>
              </w:rPr>
              <w:t xml:space="preserve">0.87d</w:t>
            </w:r>
          </w:p>
          <w:p>
            <w:pPr>
              <w:spacing w:before="0" w:after="20"/>
              <w:jc w:val="center"/>
            </w:pPr>
            <w:r>
              <w:rPr>
                <w:rFonts w:ascii="Arial" w:cs="Arial" w:eastAsia="Arial" w:hAnsi="Arial"/>
                <w:b/>
                <w:bCs/>
                <w:color w:val="2E75B6"/>
                <w:sz w:val="18"/>
                <w:szCs w:val="18"/>
              </w:rPr>
              <w:t xml:space="preserve">Con Rework Wait / Loan</w:t>
            </w:r>
          </w:p>
          <w:p>
            <w:pPr>
              <w:spacing w:before="0" w:after="0"/>
              <w:jc w:val="center"/>
            </w:pPr>
            <w:r>
              <w:rPr>
                <w:rFonts w:ascii="Arial" w:cs="Arial" w:eastAsia="Arial" w:hAnsi="Arial"/>
                <w:color w:val="595959"/>
                <w:sz w:val="18"/>
                <w:szCs w:val="18"/>
              </w:rPr>
              <w:t xml:space="preserve">65% of total Consumer Closing time</w:t>
            </w:r>
          </w:p>
        </w:tc>
        <w:tc>
          <w:tcPr>
            <w:tcW w:type="dxa" w:w="1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before="0" w:after="0"/>
            </w:pPr>
            <w:r>
              <w:t xml:space="preserve"/>
            </w:r>
          </w:p>
        </w:tc>
        <w:tc>
          <w:tcPr>
            <w:tcW w:type="dxa" w:w="3000"/>
            <w:tcBorders>
              <w:top w:val="none" w:color="FFFFFF" w:sz="0"/>
              <w:left w:val="none" w:color="FFFFFF" w:sz="0"/>
              <w:bottom w:val="none" w:color="FFFFFF" w:sz="0"/>
              <w:right w:val="none" w:color="FFFFFF" w:sz="0"/>
            </w:tcBorders>
            <w:shd w:fill="D6E4F0" w:val="clear"/>
            <w:tcMar>
              <w:top w:type="dxa" w:w="160"/>
              <w:left w:type="dxa" w:w="180"/>
              <w:bottom w:type="dxa" w:w="160"/>
              <w:right w:type="dxa" w:w="180"/>
            </w:tcMar>
          </w:tcPr>
          <w:p>
            <w:pPr>
              <w:spacing w:before="0" w:after="40"/>
              <w:jc w:val="center"/>
            </w:pPr>
            <w:r>
              <w:rPr>
                <w:rFonts w:ascii="Arial" w:cs="Arial" w:eastAsia="Arial" w:hAnsi="Arial"/>
                <w:b/>
                <w:bCs/>
                <w:color w:val="1F3864"/>
                <w:sz w:val="48"/>
                <w:szCs w:val="48"/>
              </w:rPr>
              <w:t xml:space="preserve">86%</w:t>
            </w:r>
          </w:p>
          <w:p>
            <w:pPr>
              <w:spacing w:before="0" w:after="20"/>
              <w:jc w:val="center"/>
            </w:pPr>
            <w:r>
              <w:rPr>
                <w:rFonts w:ascii="Arial" w:cs="Arial" w:eastAsia="Arial" w:hAnsi="Arial"/>
                <w:b/>
                <w:bCs/>
                <w:color w:val="2E75B6"/>
                <w:sz w:val="18"/>
                <w:szCs w:val="18"/>
              </w:rPr>
              <w:t xml:space="preserve">Classified Tasks Preventable</w:t>
            </w:r>
          </w:p>
          <w:p>
            <w:pPr>
              <w:spacing w:before="0" w:after="0"/>
              <w:jc w:val="center"/>
            </w:pPr>
            <w:r>
              <w:rPr>
                <w:rFonts w:ascii="Arial" w:cs="Arial" w:eastAsia="Arial" w:hAnsi="Arial"/>
                <w:color w:val="595959"/>
                <w:sz w:val="18"/>
                <w:szCs w:val="18"/>
              </w:rPr>
              <w:t xml:space="preserve">Of 470 classified tasks</w:t>
            </w:r>
          </w:p>
        </w:tc>
      </w:tr>
    </w:tbl>
    <w:p>
      <w:pPr>
        <w:spacing w:before="0" w:after="160"/>
      </w:pPr>
      <w:r>
        <w:t xml:space="preserve"/>
      </w:r>
    </w:p>
    <w:p>
      <w:pPr>
        <w:pBdr>
          <w:bottom w:val="single" w:color="D6E4F0" w:sz="4" w:space="1"/>
        </w:pBdr>
        <w:spacing w:before="160" w:after="16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2. Problem Statement</w:t>
      </w:r>
    </w:p>
    <w:p>
      <w:pPr>
        <w:pStyle w:val="Heading2"/>
        <w:spacing w:before="280" w:after="120"/>
      </w:pPr>
      <w:r>
        <w:rPr>
          <w:rFonts w:ascii="Arial" w:cs="Arial" w:eastAsia="Arial" w:hAnsi="Arial"/>
          <w:b/>
          <w:bCs/>
          <w:color w:val="2E75B6"/>
          <w:sz w:val="26"/>
          <w:szCs w:val="26"/>
        </w:rPr>
        <w:t xml:space="preserve">2.1 How Rework Works in the Closing Stage</w:t>
      </w:r>
    </w:p>
    <w:p>
      <w:pPr>
        <w:spacing w:before="80" w:after="80"/>
      </w:pPr>
      <w:r>
        <w:rPr>
          <w:rFonts w:ascii="Arial" w:cs="Arial" w:eastAsia="Arial" w:hAnsi="Arial"/>
          <w:color w:val="000000"/>
          <w:sz w:val="22"/>
          <w:szCs w:val="22"/>
        </w:rPr>
        <w:t xml:space="preserve">When an application arrives in Closing with missing or incorrect information, the Closing team identifies the deficiency and returns the application to the originating party — the banker, underwriter, or doc prep team — for correction. The Closing team does not perform the corrective work.</w:t>
      </w:r>
    </w:p>
    <w:p>
      <w:pPr>
        <w:spacing w:before="80" w:after="80"/>
      </w:pPr>
      <w:r>
        <w:rPr>
          <w:rFonts w:ascii="Arial" w:cs="Arial" w:eastAsia="Arial" w:hAnsi="Arial"/>
          <w:color w:val="000000"/>
          <w:sz w:val="22"/>
          <w:szCs w:val="22"/>
        </w:rPr>
        <w:t xml:space="preserve">Once the return task is issued, Closing waits. The application sits in the queue, unprocessed, until the upstream party resolves the issue and the application is returned in acceptable condition. Only then does Closing resume processing.</w:t>
      </w:r>
    </w:p>
    <w:p>
      <w:pPr>
        <w:spacing w:before="80" w:after="80"/>
      </w:pPr>
      <w:r>
        <w:rPr>
          <w:rFonts w:ascii="Arial" w:cs="Arial" w:eastAsia="Arial" w:hAnsi="Arial"/>
          <w:color w:val="000000"/>
          <w:sz w:val="22"/>
          <w:szCs w:val="22"/>
        </w:rPr>
        <w:t xml:space="preserve">The measurement problem: the current system counts all of this wait time against the Closing stage duration. Every calendar day an application spends waiting for an upstream correction is recorded as a day of Closing time, even though no Closing activity is occurring.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before="0" w:after="0"/>
            </w:pPr>
            <w:r>
              <w:rPr>
                <w:rFonts w:ascii="Arial" w:cs="Arial" w:eastAsia="Arial" w:hAnsi="Arial"/>
                <w:b/>
                <w:bCs/>
                <w:color w:val="1F3864"/>
                <w:sz w:val="22"/>
                <w:szCs w:val="22"/>
              </w:rPr>
              <w:t xml:space="preserve">Illustration:  </w:t>
            </w:r>
            <w:r>
              <w:rPr>
                <w:rFonts w:ascii="Arial" w:cs="Arial" w:eastAsia="Arial" w:hAnsi="Arial"/>
                <w:color w:val="000000"/>
                <w:sz w:val="22"/>
                <w:szCs w:val="22"/>
              </w:rPr>
              <w:t xml:space="preserve">A Business Banking loan showing 7 days in Closing may contain 3 days of actual Closing work and 4+ days of idle queue time while a banker corrects a missing signature date. Current reporting cannot distinguish between these two fundamentally different states.</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2.2 Measurement Integrity</w:t>
      </w:r>
    </w:p>
    <w:p>
      <w:pPr>
        <w:spacing w:before="80" w:after="80"/>
      </w:pPr>
      <w:r>
        <w:rPr>
          <w:rFonts w:ascii="Arial" w:cs="Arial" w:eastAsia="Arial" w:hAnsi="Arial"/>
          <w:color w:val="000000"/>
          <w:sz w:val="22"/>
          <w:szCs w:val="22"/>
        </w:rPr>
        <w:t xml:space="preserve">Closing’s reported cycle times are inflated by upstream wait time the team did not cause and cannot control. The closing-adjusted metric corrects for this by subtracting tracked rework wait time from total Closing stage duration, isolating the time attributable to actual Closing activity.</w:t>
      </w:r>
    </w:p>
    <w:p>
      <w:pPr>
        <w:spacing w:before="80" w:after="80"/>
      </w:pPr>
      <w:r>
        <w:rPr>
          <w:rFonts w:ascii="Arial" w:cs="Arial" w:eastAsia="Arial" w:hAnsi="Arial"/>
          <w:color w:val="000000"/>
          <w:sz w:val="22"/>
          <w:szCs w:val="22"/>
        </w:rPr>
        <w:t xml:space="preserve">The gap between reported and adjusted figures is a direct calculation from tracked rework data, not an estimate. Its reliability depends on the completeness of rework tracking, which was implemented in late January 2026. January observations are therefore partial.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spacing w:before="0" w:after="0"/>
            </w:pPr>
            <w:r>
              <w:rPr>
                <w:rFonts w:ascii="Arial" w:cs="Arial" w:eastAsia="Arial" w:hAnsi="Arial"/>
                <w:b/>
                <w:bCs/>
                <w:color w:val="856404"/>
                <w:sz w:val="22"/>
                <w:szCs w:val="22"/>
              </w:rPr>
              <w:t xml:space="preserve">Data Limitation:  </w:t>
            </w:r>
            <w:r>
              <w:rPr>
                <w:rFonts w:ascii="Arial" w:cs="Arial" w:eastAsia="Arial" w:hAnsi="Arial"/>
                <w:color w:val="000000"/>
                <w:sz w:val="22"/>
                <w:szCs w:val="22"/>
              </w:rPr>
              <w:t xml:space="preserve">Rework tracking was implemented in late January 2026. January data is partial. All rework rates and wait times in this document are likely understated. Figures are expected to be equal to or higher than those presented once a full calendar year of tracking is available.</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2.3 Hidden Upstream Costs</w:t>
      </w:r>
    </w:p>
    <w:p>
      <w:pPr>
        <w:spacing w:before="80" w:after="80"/>
      </w:pPr>
      <w:r>
        <w:rPr>
          <w:rFonts w:ascii="Arial" w:cs="Arial" w:eastAsia="Arial" w:hAnsi="Arial"/>
          <w:color w:val="000000"/>
          <w:sz w:val="22"/>
          <w:szCs w:val="22"/>
        </w:rPr>
        <w:t xml:space="preserve">The correction labor performed by bankers, underwriters, and doc prep teams is invisible in current reporting — it does not appear in any stage metric. The full cost of upstream deficiencies includes three components, none currently measured at the source:</w:t>
      </w:r>
    </w:p>
    <w:p>
      <w:pPr>
        <w:pStyle w:val="ListParagraph"/>
        <w:numPr>
          <w:ilvl w:val="0"/>
          <w:numId w:val="2"/>
        </w:numPr>
        <w:spacing w:before="60" w:after="60"/>
      </w:pPr>
      <w:r>
        <w:rPr>
          <w:rFonts w:ascii="Arial" w:cs="Arial" w:eastAsia="Arial" w:hAnsi="Arial"/>
          <w:sz w:val="22"/>
          <w:szCs w:val="22"/>
        </w:rPr>
        <w:t xml:space="preserve">Closing queue wait time — throughput capacity consumed while applications sit idle awaiting correction</w:t>
      </w:r>
    </w:p>
    <w:p>
      <w:pPr>
        <w:pStyle w:val="ListParagraph"/>
        <w:numPr>
          <w:ilvl w:val="0"/>
          <w:numId w:val="2"/>
        </w:numPr>
        <w:spacing w:before="60" w:after="60"/>
      </w:pPr>
      <w:r>
        <w:rPr>
          <w:rFonts w:ascii="Arial" w:cs="Arial" w:eastAsia="Arial" w:hAnsi="Arial"/>
          <w:sz w:val="22"/>
          <w:szCs w:val="22"/>
        </w:rPr>
        <w:t xml:space="preserve">Upstream correction labor — time expended by bankers, underwriters, and doc prep teams making corrections</w:t>
      </w:r>
    </w:p>
    <w:p>
      <w:pPr>
        <w:pStyle w:val="ListParagraph"/>
        <w:numPr>
          <w:ilvl w:val="0"/>
          <w:numId w:val="2"/>
        </w:numPr>
        <w:spacing w:before="60" w:after="60"/>
      </w:pPr>
      <w:r>
        <w:rPr>
          <w:rFonts w:ascii="Arial" w:cs="Arial" w:eastAsia="Arial" w:hAnsi="Arial"/>
          <w:sz w:val="22"/>
          <w:szCs w:val="22"/>
        </w:rPr>
        <w:t xml:space="preserve">Customer experience impact — unexplained late-stage delays near the end of a process where customers expect to be nearly done</w:t>
      </w:r>
    </w:p>
    <w:p>
      <w:pPr>
        <w:spacing w:before="0" w:after="160"/>
      </w:pPr>
      <w:r>
        <w:t xml:space="preserve"/>
      </w:r>
    </w:p>
    <w:p>
      <w:pPr>
        <w:pBdr>
          <w:bottom w:val="single" w:color="D6E4F0" w:sz="4" w:space="1"/>
        </w:pBdr>
        <w:spacing w:before="160" w:after="16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3. Data and Methodology</w:t>
      </w:r>
    </w:p>
    <w:p>
      <w:pPr>
        <w:pStyle w:val="Heading2"/>
        <w:spacing w:before="280" w:after="120"/>
      </w:pPr>
      <w:r>
        <w:rPr>
          <w:rFonts w:ascii="Arial" w:cs="Arial" w:eastAsia="Arial" w:hAnsi="Arial"/>
          <w:b/>
          <w:bCs/>
          <w:color w:val="2E75B6"/>
          <w:sz w:val="26"/>
          <w:szCs w:val="26"/>
        </w:rPr>
        <w:t xml:space="preserve">3.1 Data Sources</w:t>
      </w:r>
    </w:p>
    <w:p>
      <w:pPr>
        <w:spacing w:before="80" w:after="80"/>
      </w:pPr>
      <w:r>
        <w:rPr>
          <w:rFonts w:ascii="Arial" w:cs="Arial" w:eastAsia="Arial" w:hAnsi="Arial"/>
          <w:color w:val="000000"/>
          <w:sz w:val="22"/>
          <w:szCs w:val="22"/>
        </w:rPr>
        <w:t xml:space="preserve">Two distinct data sources inform this analysis. They are complementary but not directly comparable. Understanding what each measures is essential for interpreting the findings correctly.</w:t>
      </w:r>
    </w:p>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1860"/>
        <w:gridCol w:w="19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Data Source</w:t>
            </w:r>
          </w:p>
        </w:tc>
        <w:tc>
          <w:tcPr>
            <w:tcW w:type="dxa" w:w="33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What It Measures</w:t>
            </w:r>
          </w:p>
        </w:tc>
        <w:tc>
          <w:tcPr>
            <w:tcW w:type="dxa" w:w="18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Period</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Population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Loan Origination System (cycle-time data)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Stage-level durations: total Closing time, rework wait time, and closing-adjusted figures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Jan 1 – Mar 16, 2026</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Booked loans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Salesforce Task Data (Credit Card Operations Return tasks)</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Individual return tasks created when Closing sends an application back for correction. Includes Subject, Description, Manager, Market, Segment, and completion status.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Jan 1 – Mar 16, 2026</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All return tasks; not limited to booked loans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spacing w:before="0" w:after="0"/>
            </w:pPr>
            <w:r>
              <w:rPr>
                <w:rFonts w:ascii="Arial" w:cs="Arial" w:eastAsia="Arial" w:hAnsi="Arial"/>
                <w:b/>
                <w:bCs/>
                <w:color w:val="856404"/>
                <w:sz w:val="22"/>
                <w:szCs w:val="22"/>
              </w:rPr>
              <w:t xml:space="preserve">Reconciliation Note:  </w:t>
            </w:r>
            <w:r>
              <w:rPr>
                <w:rFonts w:ascii="Arial" w:cs="Arial" w:eastAsia="Arial" w:hAnsi="Arial"/>
                <w:color w:val="000000"/>
                <w:sz w:val="22"/>
                <w:szCs w:val="22"/>
              </w:rPr>
              <w:t xml:space="preserve">The formal reason code percentages (Missing Required Data: 70%, Missing Signatures: 15%, etc.) come from the loan origination system at the loan level — one code per rework loan. The 523-task Salesforce breakdown reflects individual return tasks, and a single loan may generate multiple tasks. These two sources measure related but different things and are cited separately throughout this document. The 70% 'Missing Required Data' code cannot be mapped to specific task categories without further decomposition — identified as the highest-priority diagnostic gap in Section 5.</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3.2 Population</w:t>
      </w:r>
    </w:p>
    <w:p>
      <w:pPr>
        <w:spacing w:before="80" w:after="80"/>
      </w:pPr>
      <w:r>
        <w:rPr>
          <w:rFonts w:ascii="Arial" w:cs="Arial" w:eastAsia="Arial" w:hAnsi="Arial"/>
          <w:color w:val="000000"/>
          <w:sz w:val="22"/>
          <w:szCs w:val="22"/>
        </w:rPr>
        <w:t xml:space="preserve">Cycle-time analysis is limited to booked loans. Non-booked loans are excluded to ensure averages reflect completed transactions. Salesforce task data covers all return tasks regardless of booking outcome, which may slightly overstate deficiency rates relative to a booked-only analysis.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360"/>
        <w:gridCol w:w="180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Portfolio</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Booked Loans</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Loans Sent for Rework</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Rework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Business Banking – Credit Card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54.0%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Consumer – Credit Card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1,034</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164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15.9%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Combined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1,160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20.0%</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3.3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Reported Closing Time (days/loan)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Total Closing stage duration ÷ booked loans. Includes all rework wait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Closing Adjusted (days/loan)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Reported Closing time minus total tracked rework wait time, ÷ booked loans. Reflects Closing activity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Share of Reported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wait days ÷ total reported Closing days. The share of reported Closing time attributable to upstream rework wait. This figure (56% for BB, 65% for Consumer) is NOT the same as the overstatement percentage — see Reported vs. Adjusted Overstatement below.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Reported vs. Adjusted Overstatement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How much higher the reported metric is compared to the adjusted metric, expressed as a percentage: (Reported − Adjusted) ÷ Adjusted. BB: +127%. Consumer: +186%.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Upstream Rework Wait (days/loan)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Arithmetic difference between Reported and Adjusted. Direct measure of upstream wait absorbed per booked loan.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Avg Rework Wait per Affected Loan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Total rework wait ÷ loans that entered rework. The wait burden on loans that actually received a return.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Clean Loan Average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Closing-adjusted duration ÷ loans that never entered rework. Benchmark for Closing performance when applications arrive complete.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Winsorized Average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Statistical average trimming extreme outliers. Shown for reference to illustrate outlier influence on reported figures.</w:t>
            </w:r>
          </w:p>
        </w:tc>
      </w:tr>
    </w:tbl>
    <w:p>
      <w:pPr>
        <w:spacing w:before="0" w:after="160"/>
      </w:pPr>
      <w:r>
        <w:t xml:space="preserve"/>
      </w:r>
    </w:p>
    <w:p>
      <w:pPr>
        <w:pBdr>
          <w:bottom w:val="single" w:color="D6E4F0" w:sz="4" w:space="1"/>
        </w:pBdr>
        <w:spacing w:before="160" w:after="16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4. Findings</w:t>
      </w:r>
    </w:p>
    <w:p>
      <w:pPr>
        <w:pStyle w:val="Heading2"/>
        <w:spacing w:before="280" w:after="120"/>
      </w:pPr>
      <w:r>
        <w:rPr>
          <w:rFonts w:ascii="Arial" w:cs="Arial" w:eastAsia="Arial" w:hAnsi="Arial"/>
          <w:b/>
          <w:bCs/>
          <w:color w:val="2E75B6"/>
          <w:sz w:val="26"/>
          <w:szCs w:val="26"/>
        </w:rPr>
        <w:t xml:space="preserve">4.1 Business Banking – Credit Card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Notes / Derivation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Booked Loans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Loans Sent for Rework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68 (54.0%)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Total Closing Duration (All Loans)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877.54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Total Rework Wait 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491 days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Share of Reported Closing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491 ÷ 877.54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Reported Closing (Avg per Loan)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6.96 days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Matches origination system chart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Winsorized Average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6.10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 chart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Closing Adjusted – Calculated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3.07 days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(877.54 − 491) ÷ 126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Closing Adjusted – Chart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3.10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 chart. 0.03-day gap likely due to rounding or winsorization in source system. Calculated value (3.07) used throughout this document.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Reported vs. Adjusted Overstatement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+127%</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(6.96 − 3.07) ÷ 3.07</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Upstream Rework Wait (per booked loan)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3.90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491 ÷ 126</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Avg Rework Wait per Affected Loan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7.22 days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491 ÷ 68</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Clean Loan Average (58 loans, no rework)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6.66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386.54 ÷ 58. Requires separate investigation — see Section 4.4.</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4.2 Consumer – Credit Card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Value</w:t>
            </w:r>
          </w:p>
        </w:tc>
        <w:tc>
          <w:tcPr>
            <w:tcW w:type="dxa" w:w="3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Notes / Derivation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Booked Loans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1,034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Loans Sent for Rework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164 (15.9%)</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Total Closing Duration (All Loans)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1,381.48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Total Rework Wait Time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898 days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Share of Reported Closing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65.0%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898 ÷ 1,381.48</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Reported Closing (Avg per Loan)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1.34 days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Matches origination system chart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Winsorized Average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0.79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 chart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Closing Adjusted (Avg per Loan)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0.47 days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(1,381.48 − 898) ÷ 1,034. Matches chart.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Reported vs. Adjusted Overstatement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+186%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(1.34 − 0.47) ÷ 0.47</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Upstream Rework Wait (per booked loan)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0.87 days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898 ÷ 1,034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Avg Rework Wait per Affected Loan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5.48 days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898 ÷ 164</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Clean Loan Average (870 loans, no rework)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0.56 days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483.48 ÷ 870</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DA" w:val="clear"/>
            <w:tcMar>
              <w:top w:type="dxa" w:w="160"/>
              <w:left w:type="dxa" w:w="200"/>
              <w:bottom w:type="dxa" w:w="160"/>
              <w:right w:type="dxa" w:w="200"/>
            </w:tcMar>
          </w:tcPr>
          <w:p>
            <w:pPr>
              <w:spacing w:before="0" w:after="0"/>
            </w:pPr>
            <w:r>
              <w:rPr>
                <w:rFonts w:ascii="Arial" w:cs="Arial" w:eastAsia="Arial" w:hAnsi="Arial"/>
                <w:b/>
                <w:bCs/>
                <w:color w:val="155724"/>
                <w:sz w:val="22"/>
                <w:szCs w:val="22"/>
              </w:rPr>
              <w:t xml:space="preserve">Consumer Rework Impact:  </w:t>
            </w:r>
            <w:r>
              <w:rPr>
                <w:rFonts w:ascii="Arial" w:cs="Arial" w:eastAsia="Arial" w:hAnsi="Arial"/>
                <w:color w:val="000000"/>
                <w:sz w:val="22"/>
                <w:szCs w:val="22"/>
              </w:rPr>
              <w:t xml:space="preserve">A Consumer rework loan averages 5.48 days of wait time against a clean loan average of 0.56 days — a 9.85x difference (nearly 10x). Clean Consumer loans close in under one day on average, confirming the process functions efficiently when applications arrive complete. The problem is entirely concentrated in the 15.9% of loans that require a return.</w:t>
            </w:r>
          </w:p>
        </w:tc>
      </w:tr>
    </w:tbl>
    <w:p>
      <w:pPr>
        <w:spacing w:before="0" w:after="160"/>
      </w:pPr>
      <w:r>
        <w:t xml:space="preserve"/>
      </w:r>
    </w:p>
    <w:p>
      <w:pPr>
        <w:pStyle w:val="Heading2"/>
        <w:spacing w:before="280" w:after="120"/>
      </w:pPr>
      <w:r>
        <w:rPr>
          <w:rFonts w:ascii="Arial" w:cs="Arial" w:eastAsia="Arial" w:hAnsi="Arial"/>
          <w:b/>
          <w:bCs/>
          <w:color w:val="2E75B6"/>
          <w:sz w:val="26"/>
          <w:szCs w:val="26"/>
        </w:rPr>
        <w:t xml:space="preserve">4.3 Rework Concentration and Internal Consistency</w:t>
      </w:r>
    </w:p>
    <w:p>
      <w:pPr>
        <w:spacing w:before="80" w:after="80"/>
      </w:pPr>
      <w:r>
        <w:rPr>
          <w:rFonts w:ascii="Arial" w:cs="Arial" w:eastAsia="Arial" w:hAnsi="Arial"/>
          <w:color w:val="000000"/>
          <w:sz w:val="22"/>
          <w:szCs w:val="22"/>
        </w:rPr>
        <w:t xml:space="preserve">Business Banking presents a notable internal consistency: 54% of loans are sent for rework, and rework accounts for 56% of all Closing time. These figures are derived from independent calculations — loan counts versus duration totals — yet converge within two percentage points. This convergence strengthens confidence in the measurement. In Business Banking, rework is not an edge case; it is the dominant activity consuming the majority of Closing throughput.</w:t>
      </w:r>
    </w:p>
    <w:p>
      <w:pPr>
        <w:spacing w:before="80" w:after="80"/>
      </w:pPr>
      <w:r>
        <w:rPr>
          <w:rFonts w:ascii="Arial" w:cs="Arial" w:eastAsia="Arial" w:hAnsi="Arial"/>
          <w:color w:val="000000"/>
          <w:sz w:val="22"/>
          <w:szCs w:val="22"/>
        </w:rPr>
        <w:t xml:space="preserve">For Consumer, 15.9% of loans hit rework, yet those loans consume 65% of all Closing time. A small fraction of loans accounts for the vast majority of Closing capacity consumed. This concentration means targeted interventions produce disproportionately large improvements relative to the number of loans affected.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before="0" w:after="0"/>
            </w:pPr>
            <w:r>
              <w:rPr>
                <w:rFonts w:ascii="Arial" w:cs="Arial" w:eastAsia="Arial" w:hAnsi="Arial"/>
                <w:b/>
                <w:bCs/>
                <w:color w:val="1F3864"/>
                <w:sz w:val="22"/>
                <w:szCs w:val="22"/>
              </w:rPr>
              <w:t xml:space="preserve">Strategic Implication:  </w:t>
            </w:r>
            <w:r>
              <w:rPr>
                <w:rFonts w:ascii="Arial" w:cs="Arial" w:eastAsia="Arial" w:hAnsi="Arial"/>
                <w:color w:val="000000"/>
                <w:sz w:val="22"/>
                <w:szCs w:val="22"/>
              </w:rPr>
              <w:t xml:space="preserve">For Business Banking, the primary lever is reducing rework frequency — fewer loans entering rework at all. For Consumer, the primary lever is preventing incomplete applications from reaching Closing, because when they do, the per-loan time impact is severe. Both objectives are addressed by the same upstream intervention: a structured pre-Closing handoff check.</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4.4 Business Banking Clean Loan Duration — Open Question</w:t>
      </w:r>
    </w:p>
    <w:p>
      <w:pPr>
        <w:spacing w:before="80" w:after="80"/>
      </w:pPr>
      <w:r>
        <w:rPr>
          <w:rFonts w:ascii="Arial" w:cs="Arial" w:eastAsia="Arial" w:hAnsi="Arial"/>
          <w:color w:val="000000"/>
          <w:sz w:val="22"/>
          <w:szCs w:val="22"/>
        </w:rPr>
        <w:t xml:space="preserve">Business Banking loans that never entered rework still average 6.66 days in Closing — substantially higher than the 3.07-day adjusted portfolio average and far above Consumer’s 0.56-day clean loan average. Eliminating rework would reduce the BB portfolio average to approximately 3.07 days, not 0.56 days. A separate, unidentified driver of extended BB Closing time exists beyond rework.</w:t>
      </w:r>
    </w:p>
    <w:p>
      <w:pPr>
        <w:spacing w:before="80" w:after="80"/>
      </w:pPr>
      <w:r>
        <w:rPr>
          <w:rFonts w:ascii="Arial" w:cs="Arial" w:eastAsia="Arial" w:hAnsi="Arial"/>
          <w:color w:val="000000"/>
          <w:sz w:val="22"/>
          <w:szCs w:val="22"/>
        </w:rPr>
        <w:t xml:space="preserve">Possible explanations include inherent product complexity (entity documentation, beneficial ownership, multiple signatories), multi-party coordination with attorneys or business officers, rework undercounting from partial January tracking, or a sub-product mix effect. The current data cannot resolve this.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spacing w:before="0" w:after="0"/>
            </w:pPr>
            <w:r>
              <w:rPr>
                <w:rFonts w:ascii="Arial" w:cs="Arial" w:eastAsia="Arial" w:hAnsi="Arial"/>
                <w:b/>
                <w:bCs/>
                <w:color w:val="856404"/>
                <w:sz w:val="22"/>
                <w:szCs w:val="22"/>
              </w:rPr>
              <w:t xml:space="preserve">Caution:  </w:t>
            </w:r>
            <w:r>
              <w:rPr>
                <w:rFonts w:ascii="Arial" w:cs="Arial" w:eastAsia="Arial" w:hAnsi="Arial"/>
                <w:color w:val="000000"/>
                <w:sz w:val="22"/>
                <w:szCs w:val="22"/>
              </w:rPr>
              <w:t xml:space="preserve">This document does not assert a cause for the elevated BB clean loan duration. Investigating this question is recommended as a separate parallel workstream, not a follow-on after the rework intervention.</w:t>
            </w:r>
          </w:p>
        </w:tc>
      </w:tr>
    </w:tbl>
    <w:p>
      <w:pPr>
        <w:spacing w:before="0" w:after="160"/>
      </w:pPr>
      <w:r>
        <w:t xml:space="preserve"/>
      </w:r>
    </w:p>
    <w:p>
      <w:pPr>
        <w:pBdr>
          <w:bottom w:val="single" w:color="D6E4F0" w:sz="4" w:space="1"/>
        </w:pBdr>
        <w:spacing w:before="160" w:after="16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5. Root Cause Analysis</w:t>
      </w:r>
    </w:p>
    <w:p>
      <w:pPr>
        <w:pStyle w:val="Heading2"/>
        <w:spacing w:before="280" w:after="120"/>
      </w:pPr>
      <w:r>
        <w:rPr>
          <w:rFonts w:ascii="Arial" w:cs="Arial" w:eastAsia="Arial" w:hAnsi="Arial"/>
          <w:b/>
          <w:bCs/>
          <w:color w:val="2E75B6"/>
          <w:sz w:val="26"/>
          <w:szCs w:val="26"/>
        </w:rPr>
        <w:t xml:space="preserve">5.1 Two Data Sources: What Each Tells Us</w:t>
      </w:r>
    </w:p>
    <w:p>
      <w:pPr>
        <w:spacing w:before="80" w:after="80"/>
      </w:pPr>
      <w:r>
        <w:rPr>
          <w:rFonts w:ascii="Arial" w:cs="Arial" w:eastAsia="Arial" w:hAnsi="Arial"/>
          <w:color w:val="000000"/>
          <w:sz w:val="22"/>
          <w:szCs w:val="22"/>
        </w:rPr>
        <w:t xml:space="preserve">Root cause analysis draws on two distinct views of deficiency data. They are not directly comparable and should not be treated as interchangeable.</w:t>
      </w:r>
    </w:p>
    <w:p>
      <w:pPr>
        <w:spacing w:before="0" w:after="80"/>
      </w:pPr>
      <w:r>
        <w:t xml:space="preserve"/>
      </w:r>
    </w:p>
    <w:p>
      <w:pPr>
        <w:pStyle w:val="Heading3"/>
        <w:spacing w:before="200" w:after="80"/>
      </w:pPr>
      <w:r>
        <w:rPr>
          <w:rFonts w:ascii="Arial" w:cs="Arial" w:eastAsia="Arial" w:hAnsi="Arial"/>
          <w:b/>
          <w:bCs/>
          <w:color w:val="595959"/>
          <w:sz w:val="22"/>
          <w:szCs w:val="22"/>
        </w:rPr>
        <w:t xml:space="preserve">5.1a Formal Reason Codes (Origination System — Loan-Level)</w:t>
      </w:r>
    </w:p>
    <w:p>
      <w:pPr>
        <w:spacing w:before="80" w:after="80"/>
      </w:pPr>
      <w:r>
        <w:rPr>
          <w:rFonts w:ascii="Arial" w:cs="Arial" w:eastAsia="Arial" w:hAnsi="Arial"/>
          <w:color w:val="000000"/>
          <w:sz w:val="22"/>
          <w:szCs w:val="22"/>
        </w:rPr>
        <w:t xml:space="preserve">The origination system assigns one reason code per rework loan, capturing the primary deficiency category as recorded by the tracking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Reason Code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Share of Rework Loans</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Required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70%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Broad catch-all category. Likely subsumes Actimize ID data failures, application field omissions, and other missing data items. Cannot be acted on directly without decomposition.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Signatures or Initials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customer signature, date by signature, or initials on joint sections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Required Documentation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Required supporting documents not attached at time of handoff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No Valid Secretary of 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SOS not in good standing or not found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Expired or Incorrect Approval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Approval lapsed before closing or approval amount incorrect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Other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Miscellaneous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00"/>
              <w:bottom w:type="dxa" w:w="160"/>
              <w:right w:type="dxa" w:w="200"/>
            </w:tcMar>
          </w:tcPr>
          <w:p>
            <w:pPr>
              <w:spacing w:before="0" w:after="0"/>
            </w:pPr>
            <w:r>
              <w:rPr>
                <w:rFonts w:ascii="Arial" w:cs="Arial" w:eastAsia="Arial" w:hAnsi="Arial"/>
                <w:b/>
                <w:bCs/>
                <w:color w:val="856404"/>
                <w:sz w:val="22"/>
                <w:szCs w:val="22"/>
              </w:rPr>
              <w:t xml:space="preserve">Critical Diagnostic Gap:  </w:t>
            </w:r>
            <w:r>
              <w:rPr>
                <w:rFonts w:ascii="Arial" w:cs="Arial" w:eastAsia="Arial" w:hAnsi="Arial"/>
                <w:color w:val="000000"/>
                <w:sz w:val="22"/>
                <w:szCs w:val="22"/>
              </w:rPr>
              <w:t xml:space="preserve">The 'Missing Required Data' code accounts for 70% of rework loans but provides no visibility into what data is missing. Decomposing this category — even via a 30–50 loan sample review — is the single highest-priority next step. Checklist design that ignores this bucket will address only the remaining 30% of rework loans.</w:t>
            </w:r>
          </w:p>
        </w:tc>
      </w:tr>
    </w:tbl>
    <w:p>
      <w:pPr>
        <w:spacing w:before="0" w:after="120"/>
      </w:pPr>
      <w:r>
        <w:t xml:space="preserve"/>
      </w:r>
    </w:p>
    <w:p>
      <w:pPr>
        <w:pStyle w:val="Heading3"/>
        <w:spacing w:before="200" w:after="80"/>
      </w:pPr>
      <w:r>
        <w:rPr>
          <w:rFonts w:ascii="Arial" w:cs="Arial" w:eastAsia="Arial" w:hAnsi="Arial"/>
          <w:b/>
          <w:bCs/>
          <w:color w:val="595959"/>
          <w:sz w:val="22"/>
          <w:szCs w:val="22"/>
        </w:rPr>
        <w:t xml:space="preserve">5.1b Task-Level Return Records (Salesforce — Task-Level)</w:t>
      </w:r>
    </w:p>
    <w:p>
      <w:pPr>
        <w:spacing w:before="80" w:after="80"/>
      </w:pPr>
      <w:r>
        <w:rPr>
          <w:rFonts w:ascii="Arial" w:cs="Arial" w:eastAsia="Arial" w:hAnsi="Arial"/>
          <w:color w:val="000000"/>
          <w:sz w:val="22"/>
          <w:szCs w:val="22"/>
        </w:rPr>
        <w:t xml:space="preserve">The Salesforce Credit Card Operations Return task data provides granular deficiency detail. Each record represents one return task, including free-text subject and description fields. A single loan may generate multiple tasks. This data is not limited to booked loans and is not directly comparable to the loan-level reason codes above.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5.2 Task-Level Breakdown — 523 Return Tasks</w:t>
      </w:r>
    </w:p>
    <w:p>
      <w:pPr>
        <w:spacing w:before="80" w:after="80"/>
      </w:pPr>
      <w:r>
        <w:rPr>
          <w:rFonts w:ascii="Arial" w:cs="Arial" w:eastAsia="Arial" w:hAnsi="Arial"/>
          <w:color w:val="000000"/>
          <w:sz w:val="22"/>
          <w:szCs w:val="22"/>
        </w:rPr>
        <w:t xml:space="preserve">Of 523 total return tasks, 470 have been categorized from task subject lines and descriptions. The remaining 53 tasks (10.1%) are unclassified pending individual review. They include address-related issues (6 tasks), auto debit form deficiencies (6 tasks), and approximately 41 tasks from a residual catch-all group. All percentages below are calculated against the full 523-task population so that column shares sum to 100%.</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700"/>
        <w:gridCol w:w="900"/>
        <w:gridCol w:w="39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Category</w:t>
            </w:r>
          </w:p>
        </w:tc>
        <w:tc>
          <w:tcPr>
            <w:tcW w:type="dxa" w:w="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Tasks</w:t>
            </w:r>
          </w:p>
        </w:tc>
        <w:tc>
          <w:tcPr>
            <w:tcW w:type="dxa" w:w="9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 of 523</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Type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date / signature / initials on application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207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39.6%</w:t>
            </w:r>
          </w:p>
        </w:tc>
        <w:tc>
          <w:tcPr>
            <w:tcW w:type="dxa" w:w="3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55724"/>
                <w:sz w:val="20"/>
                <w:szCs w:val="20"/>
              </w:rPr>
              <w:t xml:space="preserve">Completeness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Actimize / ID data missing or failed to save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79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15.1%</w:t>
            </w:r>
          </w:p>
        </w:tc>
        <w:tc>
          <w:tcPr>
            <w:tcW w:type="dxa" w:w="3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55724"/>
                <w:sz w:val="20"/>
                <w:szCs w:val="20"/>
              </w:rPr>
              <w:t xml:space="preserve">Completeness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signed application (no document uploaded)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9.6%</w:t>
            </w:r>
          </w:p>
        </w:tc>
        <w:tc>
          <w:tcPr>
            <w:tcW w:type="dxa" w:w="3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55724"/>
                <w:sz w:val="20"/>
                <w:szCs w:val="20"/>
              </w:rPr>
              <w:t xml:space="preserve">Completeness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guarantor information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4.6%</w:t>
            </w:r>
          </w:p>
        </w:tc>
        <w:tc>
          <w:tcPr>
            <w:tcW w:type="dxa" w:w="3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55724"/>
                <w:sz w:val="20"/>
                <w:szCs w:val="20"/>
              </w:rPr>
              <w:t xml:space="preserve">Completeness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Authorization / agent authority form missing or unsigned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4.0%</w:t>
            </w:r>
          </w:p>
        </w:tc>
        <w:tc>
          <w:tcPr>
            <w:tcW w:type="dxa" w:w="3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55724"/>
                <w:sz w:val="20"/>
                <w:szCs w:val="20"/>
              </w:rPr>
              <w:t xml:space="preserve">Completeness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Assignment of deposit issues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3.8%</w:t>
            </w:r>
          </w:p>
        </w:tc>
        <w:tc>
          <w:tcPr>
            <w:tcW w:type="dxa" w:w="3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55724"/>
                <w:sz w:val="20"/>
                <w:szCs w:val="20"/>
              </w:rPr>
              <w:t xml:space="preserve">Completeness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Requested amount field blank or mismatched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2.9%</w:t>
            </w:r>
          </w:p>
        </w:tc>
        <w:tc>
          <w:tcPr>
            <w:tcW w:type="dxa" w:w="3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55724"/>
                <w:sz w:val="20"/>
                <w:szCs w:val="20"/>
              </w:rPr>
              <w:t xml:space="preserve">Completeness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Completeness subtotal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416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79.5%</w:t>
            </w:r>
          </w:p>
        </w:tc>
        <w:tc>
          <w:tcPr>
            <w:tcW w:type="dxa" w:w="3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spacing w:before="0" w:after="0"/>
              <w:jc w:val="left"/>
            </w:pPr>
            <w:r>
              <w:rPr>
                <w:rFonts w:ascii="Arial" w:cs="Arial" w:eastAsia="Arial" w:hAnsi="Arial"/>
                <w:b/>
                <w:bCs/>
                <w:i w:val="false"/>
                <w:iCs w:val="false"/>
                <w:color w:val="155724"/>
                <w:sz w:val="20"/>
                <w:szCs w:val="20"/>
              </w:rPr>
              <w:t xml:space="preserve">Completeness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Data errors (wrong TIN, DOB, product type, card number, address)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3.3%</w:t>
            </w:r>
          </w:p>
        </w:tc>
        <w:tc>
          <w:tcPr>
            <w:tcW w:type="dxa" w:w="3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856404"/>
                <w:sz w:val="20"/>
                <w:szCs w:val="20"/>
              </w:rPr>
              <w:t xml:space="preserve">Accuracy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Emboss name contains business name instead of individual name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2.7%</w:t>
            </w:r>
          </w:p>
        </w:tc>
        <w:tc>
          <w:tcPr>
            <w:tcW w:type="dxa" w:w="3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856404"/>
                <w:sz w:val="20"/>
                <w:szCs w:val="20"/>
              </w:rPr>
              <w:t xml:space="preserve">Accuracy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Card issue field set incorrectly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0.8%</w:t>
            </w:r>
          </w:p>
        </w:tc>
        <w:tc>
          <w:tcPr>
            <w:tcW w:type="dxa" w:w="3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856404"/>
                <w:sz w:val="20"/>
                <w:szCs w:val="20"/>
              </w:rPr>
              <w:t xml:space="preserve">Accuracy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Accuracy errors subtotal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35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6.7%</w:t>
            </w:r>
          </w:p>
        </w:tc>
        <w:tc>
          <w:tcPr>
            <w:tcW w:type="dxa" w:w="39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jc w:val="left"/>
            </w:pPr>
            <w:r>
              <w:rPr>
                <w:rFonts w:ascii="Arial" w:cs="Arial" w:eastAsia="Arial" w:hAnsi="Arial"/>
                <w:b/>
                <w:bCs/>
                <w:i w:val="false"/>
                <w:iCs w:val="false"/>
                <w:color w:val="856404"/>
                <w:sz w:val="20"/>
                <w:szCs w:val="20"/>
              </w:rPr>
              <w:t xml:space="preserve">Accuracy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Preventable at handoff (completeness + accuracy, classified)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451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86.2%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Classified total</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Existing account / should be modification</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1.7%</w:t>
            </w:r>
          </w:p>
        </w:tc>
        <w:tc>
          <w:tcPr>
            <w:tcW w:type="dxa" w:w="39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721C24"/>
                <w:sz w:val="20"/>
                <w:szCs w:val="20"/>
              </w:rPr>
              <w:t xml:space="preserve">Process routing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Secretary of State not in good standing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1.0%</w:t>
            </w:r>
          </w:p>
        </w:tc>
        <w:tc>
          <w:tcPr>
            <w:tcW w:type="dxa" w:w="39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721C24"/>
                <w:sz w:val="20"/>
                <w:szCs w:val="20"/>
              </w:rPr>
              <w:t xml:space="preserve">External dependency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Expired approval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0.8%</w:t>
            </w:r>
          </w:p>
        </w:tc>
        <w:tc>
          <w:tcPr>
            <w:tcW w:type="dxa" w:w="39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721C24"/>
                <w:sz w:val="20"/>
                <w:szCs w:val="20"/>
              </w:rPr>
              <w:t xml:space="preserve">Timing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Test / duplicate entries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0.2%</w:t>
            </w:r>
          </w:p>
        </w:tc>
        <w:tc>
          <w:tcPr>
            <w:tcW w:type="dxa" w:w="39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721C24"/>
                <w:sz w:val="20"/>
                <w:szCs w:val="20"/>
              </w:rPr>
              <w:t xml:space="preserve">Admin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Systemic / other subtotal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19</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3.6%</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iCs/>
                <w:color w:val="000000"/>
                <w:sz w:val="20"/>
                <w:szCs w:val="20"/>
              </w:rPr>
              <w:t xml:space="preserve">Not yet classified (address issues, auto debit form deficiencies, residual catch-all)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iCs/>
                <w:color w:val="000000"/>
                <w:sz w:val="20"/>
                <w:szCs w:val="20"/>
              </w:rPr>
              <w:t xml:space="preserve">53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iCs/>
                <w:color w:val="000000"/>
                <w:sz w:val="20"/>
                <w:szCs w:val="20"/>
              </w:rPr>
              <w:t xml:space="preserve">10.1%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iCs/>
                <w:color w:val="000000"/>
                <w:sz w:val="20"/>
                <w:szCs w:val="20"/>
              </w:rPr>
              <w:t xml:space="preserve">Pending review</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TOTAL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523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0000"/>
                <w:sz w:val="20"/>
                <w:szCs w:val="20"/>
              </w:rPr>
              <w:t xml:space="preserve">100.0%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before="0" w:after="0"/>
            </w:pPr>
            <w:r>
              <w:rPr>
                <w:rFonts w:ascii="Arial" w:cs="Arial" w:eastAsia="Arial" w:hAnsi="Arial"/>
                <w:b/>
                <w:bCs/>
                <w:color w:val="595959"/>
                <w:sz w:val="22"/>
                <w:szCs w:val="22"/>
              </w:rPr>
              <w:t xml:space="preserve">Note on unclassified tasks:  </w:t>
            </w:r>
            <w:r>
              <w:rPr>
                <w:rFonts w:ascii="Arial" w:cs="Arial" w:eastAsia="Arial" w:hAnsi="Arial"/>
                <w:color w:val="000000"/>
                <w:sz w:val="22"/>
                <w:szCs w:val="22"/>
              </w:rPr>
              <w:t xml:space="preserve">The 53 unclassified tasks (10.1%) include address-related issues (6), auto debit form deficiencies (6), and approximately 41 tasks from a residual group. Based on visible descriptions, the majority appear to be completeness failures, which would raise the preventable share above 86.2%. However, this cannot be confirmed without reviewing each record individually. Until classified, the 86.2% figure applies only to the 470 classified tasks.</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5.3 The Completeness vs. Accuracy Distinction</w:t>
      </w:r>
    </w:p>
    <w:p>
      <w:pPr>
        <w:spacing w:before="80" w:after="80"/>
      </w:pPr>
      <w:r>
        <w:rPr>
          <w:rFonts w:ascii="Arial" w:cs="Arial" w:eastAsia="Arial" w:hAnsi="Arial"/>
          <w:color w:val="000000"/>
          <w:sz w:val="22"/>
          <w:szCs w:val="22"/>
        </w:rPr>
        <w:t xml:space="preserve">Within classified tasks, two types of preventable failures require different interventions:</w:t>
      </w:r>
    </w:p>
    <w:p>
      <w:pPr>
        <w:pStyle w:val="ListParagraph"/>
        <w:numPr>
          <w:ilvl w:val="0"/>
          <w:numId w:val="2"/>
        </w:numPr>
        <w:spacing w:before="60" w:after="60"/>
      </w:pPr>
      <w:r>
        <w:rPr>
          <w:rFonts w:ascii="Arial" w:cs="Arial" w:eastAsia="Arial" w:hAnsi="Arial"/>
          <w:b/>
          <w:bCs/>
          <w:sz w:val="22"/>
          <w:szCs w:val="22"/>
        </w:rPr>
        <w:t xml:space="preserve">Completeness failures (79.5% of all tasks): </w:t>
      </w:r>
      <w:r>
        <w:rPr>
          <w:rFonts w:ascii="Arial" w:cs="Arial" w:eastAsia="Arial" w:hAnsi="Arial"/>
          <w:sz w:val="22"/>
          <w:szCs w:val="22"/>
        </w:rPr>
        <w:t xml:space="preserve">Required information or documents are absent. Preventable by confirming that required fields are populated and documents are attached before handoff.</w:t>
      </w:r>
    </w:p>
    <w:p>
      <w:pPr>
        <w:pStyle w:val="ListParagraph"/>
        <w:numPr>
          <w:ilvl w:val="0"/>
          <w:numId w:val="2"/>
        </w:numPr>
        <w:spacing w:before="60" w:after="60"/>
      </w:pPr>
      <w:r>
        <w:rPr>
          <w:rFonts w:ascii="Arial" w:cs="Arial" w:eastAsia="Arial" w:hAnsi="Arial"/>
          <w:b/>
          <w:bCs/>
          <w:sz w:val="22"/>
          <w:szCs w:val="22"/>
        </w:rPr>
        <w:t xml:space="preserve">Accuracy errors (6.7% of all tasks): </w:t>
      </w:r>
      <w:r>
        <w:rPr>
          <w:rFonts w:ascii="Arial" w:cs="Arial" w:eastAsia="Arial" w:hAnsi="Arial"/>
          <w:sz w:val="22"/>
          <w:szCs w:val="22"/>
        </w:rPr>
        <w:t xml:space="preserve">Information is present but incorrect — wrong names, wrong TIN, wrong amounts. Preventable by verifying information against source documents, which is a harder check than confirming presence alone.</w:t>
      </w:r>
    </w:p>
    <w:p>
      <w:pPr>
        <w:spacing w:before="0" w:after="80"/>
      </w:pPr>
      <w:r>
        <w:t xml:space="preserve"/>
      </w:r>
    </w:p>
    <w:p>
      <w:pPr>
        <w:spacing w:before="80" w:after="80"/>
      </w:pPr>
      <w:r>
        <w:rPr>
          <w:rFonts w:ascii="Arial" w:cs="Arial" w:eastAsia="Arial" w:hAnsi="Arial"/>
          <w:color w:val="000000"/>
          <w:sz w:val="22"/>
          <w:szCs w:val="22"/>
        </w:rPr>
        <w:t xml:space="preserve">Together, completeness failures and accuracy errors account for 86.2% of classified tasks (451 of 470). The remaining 13.8% of classified tasks involve systemic issues — process routing errors, expired approvals, external dependencies — that require different interventions and are not addressable by a handoff checklist.</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5.4 The Dominant Deficiency: Dates and Signatures</w:t>
      </w:r>
    </w:p>
    <w:p>
      <w:pPr>
        <w:spacing w:before="80" w:after="80"/>
      </w:pPr>
      <w:r>
        <w:rPr>
          <w:rFonts w:ascii="Arial" w:cs="Arial" w:eastAsia="Arial" w:hAnsi="Arial"/>
          <w:color w:val="000000"/>
          <w:sz w:val="22"/>
          <w:szCs w:val="22"/>
        </w:rPr>
        <w:t xml:space="preserve">Missing dates by signatures, missing signature dates, and missing initials on joint sections account for 207 of 523 tasks — 39.6% of all return volume. Task descriptions across hundreds of records are nearly identical: 'Please add the date by the signature,' 'the date is missing next to the signature on the application.' This pattern is consistent across markets, segments, and managers, indicating a process gap rather than a knowledge gap. A single checklist item — 'confirm all signature lines are dated' — would intercept the largest single category of rework.</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5.5 The Actimize ID Data Pattern</w:t>
      </w:r>
    </w:p>
    <w:p>
      <w:pPr>
        <w:spacing w:before="80" w:after="80"/>
      </w:pPr>
      <w:r>
        <w:rPr>
          <w:rFonts w:ascii="Arial" w:cs="Arial" w:eastAsia="Arial" w:hAnsi="Arial"/>
          <w:color w:val="000000"/>
          <w:sz w:val="22"/>
          <w:szCs w:val="22"/>
        </w:rPr>
        <w:t xml:space="preserve">Seventy-nine tasks involve missing or failed ID data in Actimize: ID issue dates, expiration dates, and issuing authority fields. Multiple task descriptions note data 'did not take' after initial entry and required re-entry or Banker Solutions escalation. This indicates a system reliability gap distinct from general completeness failures: a banker who does not verify that their Actimize entry persisted will believe the field is complete while the downstream system shows it as empty. A targeted verification step — confirm ID data is visible in the system before submission — would address this category independently of a general checklist.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5.6 Multi-Deficiency Loans and Sequential Round Trips</w:t>
      </w:r>
    </w:p>
    <w:p>
      <w:pPr>
        <w:spacing w:before="80" w:after="80"/>
      </w:pPr>
      <w:r>
        <w:rPr>
          <w:rFonts w:ascii="Arial" w:cs="Arial" w:eastAsia="Arial" w:hAnsi="Arial"/>
          <w:color w:val="000000"/>
          <w:sz w:val="22"/>
          <w:szCs w:val="22"/>
        </w:rPr>
        <w:t xml:space="preserve">A significant number of loans generate multiple sequential return tasks. Closing identifies issue A, sends the application back, waits, receives the correction, finds issue B, sends it back again. Each round trip adds independent wait time. Several loans in the data generated five, eight, or more than ten individual tasks for a single application. This explains why the Business Banking average rework wait of 7.22 days per affected loan appears high relative to what a single correction should require — it reflects multiple sequential round trips, not one long correction. A comprehensive pre-submission review that identifies all deficiencies at once would collapse multiple round trips into a single correction cycle.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5.7 Chronic Open Items</w:t>
      </w:r>
    </w:p>
    <w:p>
      <w:pPr>
        <w:spacing w:before="80" w:after="80"/>
      </w:pPr>
      <w:r>
        <w:rPr>
          <w:rFonts w:ascii="Arial" w:cs="Arial" w:eastAsia="Arial" w:hAnsi="Arial"/>
          <w:color w:val="000000"/>
          <w:sz w:val="22"/>
          <w:szCs w:val="22"/>
        </w:rPr>
        <w:t xml:space="preserve">A subset of open return tasks show outstanding durations of 28, 33, 36, 40, 41, and 42 days as of the analysis date. These loans have been awaiting upstream correction for four to six weeks. Most are marked 'Waiting on someone else' with no escalation mechanism in the record. Some involve genuine external dependencies such as SOS standing or expired approvals; others are unresolved signature or ID date issues that have sat without action for over a month. These outliers are the primary driver of worst-case rework wait times and represent a secondary addressable problem: the absence of an aging escalation process.</w:t>
      </w:r>
    </w:p>
    <w:p>
      <w:pPr>
        <w:spacing w:before="0" w:after="160"/>
      </w:pPr>
      <w:r>
        <w:t xml:space="preserve"/>
      </w:r>
    </w:p>
    <w:p>
      <w:pPr>
        <w:pBdr>
          <w:bottom w:val="single" w:color="D6E4F0" w:sz="4" w:space="1"/>
        </w:pBdr>
        <w:spacing w:before="160" w:after="16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6. Annualized Volume Analysis</w:t>
      </w:r>
    </w:p>
    <w:p>
      <w:pPr>
        <w:spacing w:before="80" w:after="80"/>
      </w:pPr>
      <w:r>
        <w:rPr>
          <w:rFonts w:ascii="Arial" w:cs="Arial" w:eastAsia="Arial" w:hAnsi="Arial"/>
          <w:color w:val="000000"/>
          <w:sz w:val="22"/>
          <w:szCs w:val="22"/>
        </w:rPr>
        <w:t xml:space="preserve">The analysis covers 74 calendar days (January 1 through March 16, 2026). Projections apply an annualization factor of 4.93x. These are order-of-magnitude estimates for opportunity sizing and should be validated against full-year origination forecasts before use in financial planning. Because rework tracking was partial in January, all figures are conservative.</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6.1 Projected Annual Loan and Rework Volumes</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80"/>
        <w:gridCol w:w="19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Metric</w:t>
            </w:r>
          </w:p>
        </w:tc>
        <w:tc>
          <w:tcPr>
            <w:tcW w:type="dxa" w:w="19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Business Banking</w:t>
            </w:r>
          </w:p>
        </w:tc>
        <w:tc>
          <w:tcPr>
            <w:tcW w:type="dxa" w:w="19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Consumer</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Combined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Booked Loans (74-day period)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126</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1,034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1,160</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Projected Booked Loans (Annual)</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~621</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~5,100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~5,721</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Loans (74-day period)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68 (54.0%)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164 (15.9%)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232 (20.0%)</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Projected Rework Loans (Annual)</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~335</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~809</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~1,144</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6.2 Projected Annual Rework Wait Time (Closing Throughput Impact)</w:t>
      </w:r>
    </w:p>
    <w:p>
      <w:pPr>
        <w:spacing w:before="80" w:after="80"/>
      </w:pPr>
      <w:r>
        <w:rPr>
          <w:rFonts w:ascii="Arial" w:cs="Arial" w:eastAsia="Arial" w:hAnsi="Arial"/>
          <w:color w:val="000000"/>
          <w:sz w:val="22"/>
          <w:szCs w:val="22"/>
        </w:rPr>
        <w:t xml:space="preserve">The figures below represent Closing queue capacity consumed by rework wait time — periods during which applications occupy the queue without being actively processed. This is a measure of blocked throughput capacity, not of labor hours expended. These figures do not translate directly to an FTE cost without additional data on how Closing staff time is distributed across concurrent loans in the queue.</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400"/>
        <w:gridCol w:w="1980"/>
        <w:gridCol w:w="1980"/>
        <w:gridCol w:w="19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Metric</w:t>
            </w:r>
          </w:p>
        </w:tc>
        <w:tc>
          <w:tcPr>
            <w:tcW w:type="dxa" w:w="19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Business Banking</w:t>
            </w:r>
          </w:p>
        </w:tc>
        <w:tc>
          <w:tcPr>
            <w:tcW w:type="dxa" w:w="19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Consumer</w:t>
            </w:r>
          </w:p>
        </w:tc>
        <w:tc>
          <w:tcPr>
            <w:tcW w:type="dxa" w:w="1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Combined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Total Rework Wait Days (74-day period)</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491 days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898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1,389 days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Projected Annual Rework Wait Days</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~2,422 days</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~4,429 days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~6,851 days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Projected Monthly Rework Wait Days</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~202 days/mo</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~369 days/mo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~571 days/mo</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Avg Rework Wait per Affected Loan</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7.22 days</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5.48 days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before="0" w:after="0"/>
            </w:pPr>
            <w:r>
              <w:rPr>
                <w:rFonts w:ascii="Arial" w:cs="Arial" w:eastAsia="Arial" w:hAnsi="Arial"/>
                <w:b/>
                <w:bCs/>
                <w:color w:val="1F3864"/>
                <w:sz w:val="22"/>
                <w:szCs w:val="22"/>
              </w:rPr>
              <w:t xml:space="preserve">Throughput Framing:  </w:t>
            </w:r>
            <w:r>
              <w:rPr>
                <w:rFonts w:ascii="Arial" w:cs="Arial" w:eastAsia="Arial" w:hAnsi="Arial"/>
                <w:color w:val="000000"/>
                <w:sz w:val="22"/>
                <w:szCs w:val="22"/>
              </w:rPr>
              <w:t xml:space="preserve">Approximately 6,851 days of Closing queue capacity per year are consumed by rework wait. In work-year terms (260 working days), this equals roughly 26 loan-processing work-years of blocked throughput annually. This scale reference does not imply 26 FTEs are idle — it reflects that loans occupy queue slots without progressing for that aggregate duration.</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6.3 Opportunity Sizing: Conservative Improvement Scenario</w:t>
      </w:r>
    </w:p>
    <w:p>
      <w:pPr>
        <w:spacing w:before="80" w:after="80"/>
      </w:pPr>
      <w:r>
        <w:rPr>
          <w:rFonts w:ascii="Arial" w:cs="Arial" w:eastAsia="Arial" w:hAnsi="Arial"/>
          <w:color w:val="000000"/>
          <w:sz w:val="22"/>
          <w:szCs w:val="22"/>
        </w:rPr>
        <w:t xml:space="preserve">This scenario models throughput capacity recovered by reducing rework rates through a pre-Closing completeness gate. Conservative targets reflect real-world implementation variability and partial checklist effectiveness. The exact Consumer rework rate of 15.9% is used throughout.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
            </w:r>
          </w:p>
        </w:tc>
        <w:tc>
          <w:tcPr>
            <w:tcW w:type="dxa" w:w="27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Business Banking</w:t>
            </w:r>
          </w:p>
        </w:tc>
        <w:tc>
          <w:tcPr>
            <w:tcW w:type="dxa" w:w="27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Consumer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Current Rework Rate (Exact)</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54.0%</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15.9%</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Conservative Target Rate</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25%</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Reduction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29 percentage points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 percentage points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Loans Removed from Rework (Annual)</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~180 loans</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~407 loans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Avg Rework Wait per Affected Loan</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7.22 days</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5.48 days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Closing Wait Days Recovered (Annual)</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~1,301 days</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~2,195 days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Combined Days Recovered</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w:t>
            </w:r>
          </w:p>
        </w:tc>
        <w:tc>
          <w:tcPr>
            <w:tcW w:type="dxa" w:w="2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~3,497 days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Equivalent Throughput Capacity (260-day basis)</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w:t>
            </w:r>
          </w:p>
        </w:tc>
        <w:tc>
          <w:tcPr>
            <w:tcW w:type="dxa" w:w="2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~13.4 loan-processing work-years</w:t>
            </w:r>
          </w:p>
        </w:tc>
      </w:tr>
    </w:tbl>
    <w:p>
      <w:pPr>
        <w:spacing w:before="0" w:after="120"/>
      </w:pPr>
      <w:r>
        <w:t xml:space="preserve"/>
      </w:r>
    </w:p>
    <w:p>
      <w:pPr>
        <w:spacing w:before="80" w:after="80"/>
      </w:pPr>
      <w:r>
        <w:rPr>
          <w:rFonts w:ascii="Arial" w:cs="Arial" w:eastAsia="Arial" w:hAnsi="Arial"/>
          <w:color w:val="000000"/>
          <w:sz w:val="22"/>
          <w:szCs w:val="22"/>
        </w:rPr>
        <w:t xml:space="preserve">At these conservative targets, the pre-Closing gate recovers approximately 3,497 days of Closing throughput capacity annually. This capacity does not require headcount reduction — it represents bandwidth available for additional loan volume, faster turnaround, or reallocation to other priorities without adding staff.</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before="0" w:after="0"/>
            </w:pPr>
            <w:r>
              <w:rPr>
                <w:rFonts w:ascii="Arial" w:cs="Arial" w:eastAsia="Arial" w:hAnsi="Arial"/>
                <w:b/>
                <w:bCs/>
                <w:color w:val="1F3864"/>
                <w:sz w:val="22"/>
                <w:szCs w:val="22"/>
              </w:rPr>
              <w:t xml:space="preserve">Cost Formula (Pending Finance Input):  </w:t>
            </w:r>
            <w:r>
              <w:rPr>
                <w:rFonts w:ascii="Arial" w:cs="Arial" w:eastAsia="Arial" w:hAnsi="Arial"/>
                <w:color w:val="000000"/>
                <w:sz w:val="22"/>
                <w:szCs w:val="22"/>
              </w:rPr>
              <w:t xml:space="preserve">Annual Throughput Recovery Value = 3,497 recovered days × [Fully-Loaded Daily Cost of Closing Throughput Capacity]  —  Obtain this figure from Finance and HR before any financial commitment is made. Estimated values have been omitted from this document intentionally.</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6.4 Implementation Cost Considerations</w:t>
      </w:r>
    </w:p>
    <w:p>
      <w:pPr>
        <w:spacing w:before="80" w:after="80"/>
      </w:pPr>
      <w:r>
        <w:rPr>
          <w:rFonts w:ascii="Arial" w:cs="Arial" w:eastAsia="Arial" w:hAnsi="Arial"/>
          <w:color w:val="000000"/>
          <w:sz w:val="22"/>
          <w:szCs w:val="22"/>
        </w:rPr>
        <w:t xml:space="preserve">This business case quantifies the cost of the problem and the potential savings from solving it. Implementation cost is not estimated here and must be scoped before investment approval. Cost components to assess include:</w:t>
      </w:r>
    </w:p>
    <w:p>
      <w:pPr>
        <w:pStyle w:val="ListParagraph"/>
        <w:numPr>
          <w:ilvl w:val="0"/>
          <w:numId w:val="2"/>
        </w:numPr>
        <w:spacing w:before="60" w:after="60"/>
      </w:pPr>
      <w:r>
        <w:rPr>
          <w:rFonts w:ascii="Arial" w:cs="Arial" w:eastAsia="Arial" w:hAnsi="Arial"/>
          <w:sz w:val="22"/>
          <w:szCs w:val="22"/>
        </w:rPr>
        <w:t xml:space="preserve">Design and documentation of the pre-Closing completeness and accuracy checklist</w:t>
      </w:r>
    </w:p>
    <w:p>
      <w:pPr>
        <w:pStyle w:val="ListParagraph"/>
        <w:numPr>
          <w:ilvl w:val="0"/>
          <w:numId w:val="2"/>
        </w:numPr>
        <w:spacing w:before="60" w:after="60"/>
      </w:pPr>
      <w:r>
        <w:rPr>
          <w:rFonts w:ascii="Arial" w:cs="Arial" w:eastAsia="Arial" w:hAnsi="Arial"/>
          <w:sz w:val="22"/>
          <w:szCs w:val="22"/>
        </w:rPr>
        <w:t xml:space="preserve">Any nCino or Salesforce workflow changes to enforce the gate before handoff</w:t>
      </w:r>
    </w:p>
    <w:p>
      <w:pPr>
        <w:pStyle w:val="ListParagraph"/>
        <w:numPr>
          <w:ilvl w:val="0"/>
          <w:numId w:val="2"/>
        </w:numPr>
        <w:spacing w:before="60" w:after="60"/>
      </w:pPr>
      <w:r>
        <w:rPr>
          <w:rFonts w:ascii="Arial" w:cs="Arial" w:eastAsia="Arial" w:hAnsi="Arial"/>
          <w:sz w:val="22"/>
          <w:szCs w:val="22"/>
        </w:rPr>
        <w:t xml:space="preserve">Banker and doc prep training on pre-submission requirements</w:t>
      </w:r>
    </w:p>
    <w:p>
      <w:pPr>
        <w:pStyle w:val="ListParagraph"/>
        <w:numPr>
          <w:ilvl w:val="0"/>
          <w:numId w:val="2"/>
        </w:numPr>
        <w:spacing w:before="60" w:after="60"/>
      </w:pPr>
      <w:r>
        <w:rPr>
          <w:rFonts w:ascii="Arial" w:cs="Arial" w:eastAsia="Arial" w:hAnsi="Arial"/>
          <w:sz w:val="22"/>
          <w:szCs w:val="22"/>
        </w:rPr>
        <w:t xml:space="preserve">Actimize entry validation remediation (may require IT involvement for a system confirmation step)</w:t>
      </w:r>
    </w:p>
    <w:p>
      <w:pPr>
        <w:pStyle w:val="ListParagraph"/>
        <w:numPr>
          <w:ilvl w:val="0"/>
          <w:numId w:val="2"/>
        </w:numPr>
        <w:spacing w:before="60" w:after="60"/>
      </w:pPr>
      <w:r>
        <w:rPr>
          <w:rFonts w:ascii="Arial" w:cs="Arial" w:eastAsia="Arial" w:hAnsi="Arial"/>
          <w:sz w:val="22"/>
          <w:szCs w:val="22"/>
        </w:rPr>
        <w:t xml:space="preserve">Ongoing maintenance as product requirements and checklists evolve</w:t>
      </w:r>
    </w:p>
    <w:p>
      <w:pPr>
        <w:spacing w:before="0" w:after="80"/>
      </w:pPr>
      <w:r>
        <w:t xml:space="preserve"/>
      </w:r>
    </w:p>
    <w:p>
      <w:pPr>
        <w:spacing w:before="80" w:after="80"/>
      </w:pPr>
      <w:r>
        <w:rPr>
          <w:rFonts w:ascii="Arial" w:cs="Arial" w:eastAsia="Arial" w:hAnsi="Arial"/>
          <w:color w:val="000000"/>
          <w:sz w:val="22"/>
          <w:szCs w:val="22"/>
        </w:rPr>
        <w:t xml:space="preserve">If the intervention is primarily procedural — a manual checklist enforced by policy — implementation cost is likely low relative to the throughput recovery. System enforcement increases cost and timeline. Scoping this is recommended before committing to a specific approach.</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6.5 Monthly Operational Cadence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20"/>
        <w:gridCol w:w="1720"/>
        <w:gridCol w:w="212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Monthly Estimate (from annualized figures ÷ 12)</w:t>
            </w:r>
          </w:p>
        </w:tc>
        <w:tc>
          <w:tcPr>
            <w:tcW w:type="dxa" w:w="1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Business Banking</w:t>
            </w:r>
          </w:p>
        </w:tc>
        <w:tc>
          <w:tcPr>
            <w:tcW w:type="dxa" w:w="1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Consumer</w:t>
            </w:r>
          </w:p>
        </w:tc>
        <w:tc>
          <w:tcPr>
            <w:tcW w:type="dxa" w:w="2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Combined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Booked Loans per Month</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~52</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~425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~477</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Loans per Month</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~28</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~67</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~95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Wait Days per Month</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~202 days</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~369 days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~571 days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Return Tasks per Month</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w:t>
            </w:r>
          </w:p>
        </w:tc>
        <w:tc>
          <w:tcPr>
            <w:tcW w:type="dxa" w:w="1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~215 tasks/mo</w:t>
            </w:r>
          </w:p>
        </w:tc>
      </w:tr>
    </w:tbl>
    <w:p>
      <w:pPr>
        <w:spacing w:before="0" w:after="120"/>
      </w:pPr>
      <w:r>
        <w:t xml:space="preserve"/>
      </w:r>
    </w:p>
    <w:p>
      <w:pPr>
        <w:spacing w:before="80" w:after="80"/>
      </w:pPr>
      <w:r>
        <w:rPr>
          <w:rFonts w:ascii="Arial" w:cs="Arial" w:eastAsia="Arial" w:hAnsi="Arial"/>
          <w:color w:val="000000"/>
          <w:sz w:val="22"/>
          <w:szCs w:val="22"/>
        </w:rPr>
        <w:t xml:space="preserve">Approximately 95 loans per month enter rework, generating an estimated 215 individual return tasks per month. Each task is a discrete round trip between Closing and an upstream party, consuming staff coordination time at both ends. Reducing this volume through earlier defect detection would simultaneously reduce task volume, upstream correction labor, and Closing queue wait time.</w:t>
      </w:r>
    </w:p>
    <w:p>
      <w:pPr>
        <w:spacing w:before="0" w:after="160"/>
      </w:pPr>
      <w:r>
        <w:t xml:space="preserve"/>
      </w:r>
    </w:p>
    <w:p>
      <w:pPr>
        <w:pBdr>
          <w:bottom w:val="single" w:color="D6E4F0" w:sz="4" w:space="1"/>
        </w:pBdr>
        <w:spacing w:before="160" w:after="16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7. Business Impact</w:t>
      </w:r>
    </w:p>
    <w:p>
      <w:pPr>
        <w:pStyle w:val="Heading2"/>
        <w:spacing w:before="280" w:after="120"/>
      </w:pPr>
      <w:r>
        <w:rPr>
          <w:rFonts w:ascii="Arial" w:cs="Arial" w:eastAsia="Arial" w:hAnsi="Arial"/>
          <w:b/>
          <w:bCs/>
          <w:color w:val="2E75B6"/>
          <w:sz w:val="26"/>
          <w:szCs w:val="26"/>
        </w:rPr>
        <w:t xml:space="preserve">7.1 Measurement Integrity and Performance Evaluation</w:t>
      </w:r>
    </w:p>
    <w:p>
      <w:pPr>
        <w:spacing w:before="80" w:after="80"/>
      </w:pPr>
      <w:r>
        <w:rPr>
          <w:rFonts w:ascii="Arial" w:cs="Arial" w:eastAsia="Arial" w:hAnsi="Arial"/>
          <w:color w:val="000000"/>
          <w:sz w:val="22"/>
          <w:szCs w:val="22"/>
        </w:rPr>
        <w:t xml:space="preserve">Closing’s reported cycle times are inflated by rework wait time the team did not cause and cannot control. The rework wait accounts for 56% of reported Business Banking Closing time and 65% of reported Consumer Closing time.</w:t>
      </w:r>
    </w:p>
    <w:p>
      <w:pPr>
        <w:spacing w:before="80" w:after="80"/>
      </w:pPr>
      <w:r>
        <w:rPr>
          <w:rFonts w:ascii="Arial" w:cs="Arial" w:eastAsia="Arial" w:hAnsi="Arial"/>
          <w:color w:val="000000"/>
          <w:sz w:val="22"/>
          <w:szCs w:val="22"/>
        </w:rPr>
        <w:t xml:space="preserve">These percentages describe what share of reported time is rework — they are not the same as the overstatement magnitude. The reported metric is actually 127% higher than the adjusted figure for Business Banking (6.96 days reported vs. 3.07 days adjusted) and 186% higher for Consumer (1.34 days reported vs. 0.47 days adjusted). Using the unadjusted figures for performance evaluation means the team is being measured against a metric that is more than twice its true value for Business Banking and nearly three times its true value for Consumer.</w:t>
      </w:r>
    </w:p>
    <w:p>
      <w:pPr>
        <w:spacing w:before="80" w:after="80"/>
      </w:pPr>
      <w:r>
        <w:rPr>
          <w:rFonts w:ascii="Arial" w:cs="Arial" w:eastAsia="Arial" w:hAnsi="Arial"/>
          <w:color w:val="000000"/>
          <w:sz w:val="22"/>
          <w:szCs w:val="22"/>
        </w:rPr>
        <w:t xml:space="preserve">Correcting the reporting framework is a prerequisite for all other workstreams. Without accurate attribution, it is impossible to measure whether upstream interventions are producing improvement.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7.2 Throughput and Capacity</w:t>
      </w:r>
    </w:p>
    <w:p>
      <w:pPr>
        <w:spacing w:before="80" w:after="80"/>
      </w:pPr>
      <w:r>
        <w:rPr>
          <w:rFonts w:ascii="Arial" w:cs="Arial" w:eastAsia="Arial" w:hAnsi="Arial"/>
          <w:color w:val="000000"/>
          <w:sz w:val="22"/>
          <w:szCs w:val="22"/>
        </w:rPr>
        <w:t xml:space="preserve">Projected annually, approximately 6,851 days of Closing queue capacity are consumed by rework wait. At the conservative improvement scenario in Section 6.3, a pre-Closing completeness gate would recover approximately 3,497 of those days annually — equivalent to 13.4 loan-processing work-years of Closing capacity freed for productive use.</w:t>
      </w:r>
    </w:p>
    <w:p>
      <w:pPr>
        <w:spacing w:before="80" w:after="80"/>
      </w:pPr>
      <w:r>
        <w:rPr>
          <w:rFonts w:ascii="Arial" w:cs="Arial" w:eastAsia="Arial" w:hAnsi="Arial"/>
          <w:color w:val="000000"/>
          <w:sz w:val="22"/>
          <w:szCs w:val="22"/>
        </w:rPr>
        <w:t xml:space="preserve">For Consumer, a rework loan consumes 9.85x the Closing queue time of a clean loan (5.48 days vs. 0.56 days). Even a modest reduction in Consumer rework frequency produces a disproportionate throughput improvement because of this amplified per-loan impact.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7.3 Customer Experience</w:t>
      </w:r>
    </w:p>
    <w:p>
      <w:pPr>
        <w:spacing w:before="80" w:after="80"/>
      </w:pPr>
      <w:r>
        <w:rPr>
          <w:rFonts w:ascii="Arial" w:cs="Arial" w:eastAsia="Arial" w:hAnsi="Arial"/>
          <w:color w:val="000000"/>
          <w:sz w:val="22"/>
          <w:szCs w:val="22"/>
        </w:rPr>
        <w:t xml:space="preserve">Customers at Closing expect to be nearly done. A rework delay averaging 5 to 7 days for affected loans creates friction at exactly the wrong moment. The delay is typically invisible to the customer — they are not told their application was returned because a date was missing by a signature. They experience only an unexplained hold near the end of a process where they believed completion was imminent. Late-stage, unexplained delays are among the most damaging friction points in a loan origination experience.</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7.4 Operational Risk</w:t>
      </w:r>
    </w:p>
    <w:p>
      <w:pPr>
        <w:spacing w:before="80" w:after="80"/>
      </w:pPr>
      <w:r>
        <w:rPr>
          <w:rFonts w:ascii="Arial" w:cs="Arial" w:eastAsia="Arial" w:hAnsi="Arial"/>
          <w:color w:val="000000"/>
          <w:sz w:val="22"/>
          <w:szCs w:val="22"/>
        </w:rPr>
        <w:t xml:space="preserve">Corrections made under time pressure late in the process carry higher risk of errors, inconsistent handling, and compliance gaps than issues caught earlier. Multi-deficiency loans cycling through multiple return trips are particularly prone to residual errors after correction, as each iteration is completed under urgency rather than through a fresh comprehensive review.</w:t>
      </w:r>
    </w:p>
    <w:p>
      <w:pPr>
        <w:spacing w:before="80" w:after="80"/>
      </w:pPr>
      <w:r>
        <w:rPr>
          <w:rFonts w:ascii="Arial" w:cs="Arial" w:eastAsia="Arial" w:hAnsi="Arial"/>
          <w:color w:val="000000"/>
          <w:sz w:val="22"/>
          <w:szCs w:val="22"/>
        </w:rPr>
        <w:t xml:space="preserve">The 9 process routing errors (applications submitted as new when they should be modifications) represent a distinct compliance risk: these may result in incorrect product setup, duplicate accounts, or incorrect credit exposure reporting if not identified and corrected before booking.</w:t>
      </w:r>
    </w:p>
    <w:p>
      <w:pPr>
        <w:spacing w:before="0" w:after="160"/>
      </w:pPr>
      <w:r>
        <w:t xml:space="preserve"/>
      </w:r>
    </w:p>
    <w:p>
      <w:pPr>
        <w:pBdr>
          <w:bottom w:val="single" w:color="D6E4F0" w:sz="4" w:space="1"/>
        </w:pBdr>
        <w:spacing w:before="160" w:after="16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8. Recommendations</w:t>
      </w:r>
    </w:p>
    <w:p>
      <w:pPr>
        <w:pStyle w:val="Heading2"/>
        <w:spacing w:before="280" w:after="120"/>
      </w:pPr>
      <w:r>
        <w:rPr>
          <w:rFonts w:ascii="Arial" w:cs="Arial" w:eastAsia="Arial" w:hAnsi="Arial"/>
          <w:b/>
          <w:bCs/>
          <w:color w:val="2E75B6"/>
          <w:sz w:val="26"/>
          <w:szCs w:val="26"/>
        </w:rPr>
        <w:t xml:space="preserve">Workstream 1: Redesign Closing Performance Reporting</w:t>
      </w:r>
    </w:p>
    <w:p>
      <w:pPr>
        <w:spacing w:before="80" w:after="80"/>
      </w:pPr>
      <w:r>
        <w:rPr>
          <w:rFonts w:ascii="Arial" w:cs="Arial" w:eastAsia="Arial" w:hAnsi="Arial"/>
          <w:color w:val="000000"/>
          <w:sz w:val="22"/>
          <w:szCs w:val="22"/>
        </w:rPr>
        <w:t xml:space="preserve">Shift the primary Closing cycle-time metric to the closing-adjusted figure, with upstream rework wait time reported separately and attributed to the originating stage. Rework tracking is already in place; this requires reporting reconfiguration, not new data collection.</w:t>
      </w:r>
    </w:p>
    <w:p>
      <w:pPr>
        <w:pStyle w:val="ListParagraph"/>
        <w:numPr>
          <w:ilvl w:val="0"/>
          <w:numId w:val="2"/>
        </w:numPr>
        <w:spacing w:before="60" w:after="60"/>
      </w:pPr>
      <w:r>
        <w:rPr>
          <w:rFonts w:ascii="Arial" w:cs="Arial" w:eastAsia="Arial" w:hAnsi="Arial"/>
          <w:sz w:val="22"/>
          <w:szCs w:val="22"/>
        </w:rPr>
        <w:t xml:space="preserve">Report closing-adjusted time as the primary Closing performance metric</w:t>
      </w:r>
    </w:p>
    <w:p>
      <w:pPr>
        <w:pStyle w:val="ListParagraph"/>
        <w:numPr>
          <w:ilvl w:val="0"/>
          <w:numId w:val="2"/>
        </w:numPr>
        <w:spacing w:before="60" w:after="60"/>
      </w:pPr>
      <w:r>
        <w:rPr>
          <w:rFonts w:ascii="Arial" w:cs="Arial" w:eastAsia="Arial" w:hAnsi="Arial"/>
          <w:sz w:val="22"/>
          <w:szCs w:val="22"/>
        </w:rPr>
        <w:t xml:space="preserve">Report upstream rework wait as a separate metric attributed to the originating stage (banker, underwriter, doc prep)</w:t>
      </w:r>
    </w:p>
    <w:p>
      <w:pPr>
        <w:pStyle w:val="ListParagraph"/>
        <w:numPr>
          <w:ilvl w:val="0"/>
          <w:numId w:val="2"/>
        </w:numPr>
        <w:spacing w:before="60" w:after="60"/>
      </w:pPr>
      <w:r>
        <w:rPr>
          <w:rFonts w:ascii="Arial" w:cs="Arial" w:eastAsia="Arial" w:hAnsi="Arial"/>
          <w:sz w:val="22"/>
          <w:szCs w:val="22"/>
        </w:rPr>
        <w:t xml:space="preserve">Clearly distinguish ‘rework share of reported time’ (56%/65%) from ‘overstatement magnitude’ (+127%/+186%) in all communications to prevent misinterpretation</w:t>
      </w:r>
    </w:p>
    <w:p>
      <w:pPr>
        <w:spacing w:before="0" w:after="80"/>
      </w:pPr>
      <w:r>
        <w:t xml:space="preserve"/>
      </w:r>
    </w:p>
    <w:p>
      <w:pPr>
        <w:spacing w:before="80" w:after="80"/>
      </w:pPr>
      <w:r>
        <w:rPr>
          <w:rFonts w:ascii="Arial" w:cs="Arial" w:eastAsia="Arial" w:hAnsi="Arial"/>
          <w:color w:val="000000"/>
          <w:sz w:val="22"/>
          <w:szCs w:val="22"/>
        </w:rPr>
        <w:t xml:space="preserve">This workstream is a prerequisite for all others. Without corrected attribution, measuring whether upstream interventions are working is not possible.</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Workstream 2: Decompose the ‘Missing Required Data’ Reason Code</w:t>
      </w:r>
    </w:p>
    <w:p>
      <w:pPr>
        <w:spacing w:before="80" w:after="80"/>
      </w:pPr>
      <w:r>
        <w:rPr>
          <w:rFonts w:ascii="Arial" w:cs="Arial" w:eastAsia="Arial" w:hAnsi="Arial"/>
          <w:color w:val="000000"/>
          <w:sz w:val="22"/>
          <w:szCs w:val="22"/>
        </w:rPr>
        <w:t xml:space="preserve">Before finalizing checklist design, identify what specific data items are absent in the 70% of rework loans coded as ‘Missing Required Data.’ This is the highest-leverage diagnostic step available.</w:t>
      </w:r>
    </w:p>
    <w:p>
      <w:pPr>
        <w:pStyle w:val="ListParagraph"/>
        <w:numPr>
          <w:ilvl w:val="0"/>
          <w:numId w:val="2"/>
        </w:numPr>
        <w:spacing w:before="60" w:after="60"/>
      </w:pPr>
      <w:r>
        <w:rPr>
          <w:rFonts w:ascii="Arial" w:cs="Arial" w:eastAsia="Arial" w:hAnsi="Arial"/>
          <w:sz w:val="22"/>
          <w:szCs w:val="22"/>
        </w:rPr>
        <w:t xml:space="preserve">Pull a sample of 30–50 loans from this category and review their Salesforce return task descriptions to identify the most common specific items</w:t>
      </w:r>
    </w:p>
    <w:p>
      <w:pPr>
        <w:pStyle w:val="ListParagraph"/>
        <w:numPr>
          <w:ilvl w:val="0"/>
          <w:numId w:val="2"/>
        </w:numPr>
        <w:spacing w:before="60" w:after="60"/>
      </w:pPr>
      <w:r>
        <w:rPr>
          <w:rFonts w:ascii="Arial" w:cs="Arial" w:eastAsia="Arial" w:hAnsi="Arial"/>
          <w:sz w:val="22"/>
          <w:szCs w:val="22"/>
        </w:rPr>
        <w:t xml:space="preserve">Determine whether Actimize ID data failures (identified in the task-level data at 15.1%) are captured within this code or tracked separately</w:t>
      </w:r>
    </w:p>
    <w:p>
      <w:pPr>
        <w:pStyle w:val="ListParagraph"/>
        <w:numPr>
          <w:ilvl w:val="0"/>
          <w:numId w:val="2"/>
        </w:numPr>
        <w:spacing w:before="60" w:after="60"/>
      </w:pPr>
      <w:r>
        <w:rPr>
          <w:rFonts w:ascii="Arial" w:cs="Arial" w:eastAsia="Arial" w:hAnsi="Arial"/>
          <w:sz w:val="22"/>
          <w:szCs w:val="22"/>
        </w:rPr>
        <w:t xml:space="preserve">Classify the 53 unaccounted Salesforce tasks to confirm or revise the 86.2% preventable estimate</w:t>
      </w:r>
    </w:p>
    <w:p>
      <w:pPr>
        <w:spacing w:before="0" w:after="80"/>
      </w:pPr>
      <w:r>
        <w:t xml:space="preserve"/>
      </w:r>
    </w:p>
    <w:p>
      <w:pPr>
        <w:spacing w:before="80" w:after="80"/>
      </w:pPr>
      <w:r>
        <w:rPr>
          <w:rFonts w:ascii="Arial" w:cs="Arial" w:eastAsia="Arial" w:hAnsi="Arial"/>
          <w:color w:val="000000"/>
          <w:sz w:val="22"/>
          <w:szCs w:val="22"/>
        </w:rPr>
        <w:t xml:space="preserve">Estimated effort: one to two weeks of analyst time. This should be completed before checklist design is finalized.</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Workstream 3: Implement Pre-Closing Completeness and Accuracy Gate</w:t>
      </w:r>
    </w:p>
    <w:p>
      <w:pPr>
        <w:spacing w:before="80" w:after="80"/>
      </w:pPr>
      <w:r>
        <w:rPr>
          <w:rFonts w:ascii="Arial" w:cs="Arial" w:eastAsia="Arial" w:hAnsi="Arial"/>
          <w:color w:val="000000"/>
          <w:sz w:val="22"/>
          <w:szCs w:val="22"/>
        </w:rPr>
        <w:t xml:space="preserve">Design and pilot a structured pre-Closing handoff check that must be completed before an application is released to Closing. The check addresses both completeness failures (verify presence) and accuracy errors (verify correctness). These require different verification mechanisms and may be implemented in phases.</w:t>
      </w:r>
    </w:p>
    <w:p>
      <w:pPr>
        <w:spacing w:before="0" w:after="80"/>
      </w:pPr>
      <w:r>
        <w:t xml:space="preserve"/>
      </w:r>
    </w:p>
    <w:p>
      <w:pPr>
        <w:pStyle w:val="Heading3"/>
        <w:spacing w:before="200" w:after="80"/>
      </w:pPr>
      <w:r>
        <w:rPr>
          <w:rFonts w:ascii="Arial" w:cs="Arial" w:eastAsia="Arial" w:hAnsi="Arial"/>
          <w:b/>
          <w:bCs/>
          <w:color w:val="595959"/>
          <w:sz w:val="22"/>
          <w:szCs w:val="22"/>
        </w:rPr>
        <w:t xml:space="preserve">Phase 1 — Completeness (verify presence)</w:t>
      </w:r>
    </w:p>
    <w:p>
      <w:pPr>
        <w:pStyle w:val="ListParagraph"/>
        <w:numPr>
          <w:ilvl w:val="0"/>
          <w:numId w:val="2"/>
        </w:numPr>
        <w:spacing w:before="60" w:after="60"/>
      </w:pPr>
      <w:r>
        <w:rPr>
          <w:rFonts w:ascii="Arial" w:cs="Arial" w:eastAsia="Arial" w:hAnsi="Arial"/>
          <w:sz w:val="22"/>
          <w:szCs w:val="22"/>
        </w:rPr>
        <w:t xml:space="preserve">All signature lines dated on application</w:t>
      </w:r>
    </w:p>
    <w:p>
      <w:pPr>
        <w:pStyle w:val="ListParagraph"/>
        <w:numPr>
          <w:ilvl w:val="0"/>
          <w:numId w:val="2"/>
        </w:numPr>
        <w:spacing w:before="60" w:after="60"/>
      </w:pPr>
      <w:r>
        <w:rPr>
          <w:rFonts w:ascii="Arial" w:cs="Arial" w:eastAsia="Arial" w:hAnsi="Arial"/>
          <w:sz w:val="22"/>
          <w:szCs w:val="22"/>
        </w:rPr>
        <w:t xml:space="preserve">Joint application section initialed where required</w:t>
      </w:r>
    </w:p>
    <w:p>
      <w:pPr>
        <w:pStyle w:val="ListParagraph"/>
        <w:numPr>
          <w:ilvl w:val="0"/>
          <w:numId w:val="2"/>
        </w:numPr>
        <w:spacing w:before="60" w:after="60"/>
      </w:pPr>
      <w:r>
        <w:rPr>
          <w:rFonts w:ascii="Arial" w:cs="Arial" w:eastAsia="Arial" w:hAnsi="Arial"/>
          <w:sz w:val="22"/>
          <w:szCs w:val="22"/>
        </w:rPr>
        <w:t xml:space="preserve">Signed nCino application uploaded to DocMan</w:t>
      </w:r>
    </w:p>
    <w:p>
      <w:pPr>
        <w:pStyle w:val="ListParagraph"/>
        <w:numPr>
          <w:ilvl w:val="0"/>
          <w:numId w:val="2"/>
        </w:numPr>
        <w:spacing w:before="60" w:after="60"/>
      </w:pPr>
      <w:r>
        <w:rPr>
          <w:rFonts w:ascii="Arial" w:cs="Arial" w:eastAsia="Arial" w:hAnsi="Arial"/>
          <w:sz w:val="22"/>
          <w:szCs w:val="22"/>
        </w:rPr>
        <w:t xml:space="preserve">ID issue date and ID expiration date confirmed as saved in Actimize — verify, do not assume entry succeeded</w:t>
      </w:r>
    </w:p>
    <w:p>
      <w:pPr>
        <w:pStyle w:val="ListParagraph"/>
        <w:numPr>
          <w:ilvl w:val="0"/>
          <w:numId w:val="2"/>
        </w:numPr>
        <w:spacing w:before="60" w:after="60"/>
      </w:pPr>
      <w:r>
        <w:rPr>
          <w:rFonts w:ascii="Arial" w:cs="Arial" w:eastAsia="Arial" w:hAnsi="Arial"/>
          <w:sz w:val="22"/>
          <w:szCs w:val="22"/>
        </w:rPr>
        <w:t xml:space="preserve">Issuing authority confirmed in Actimize</w:t>
      </w:r>
    </w:p>
    <w:p>
      <w:pPr>
        <w:pStyle w:val="ListParagraph"/>
        <w:numPr>
          <w:ilvl w:val="0"/>
          <w:numId w:val="2"/>
        </w:numPr>
        <w:spacing w:before="60" w:after="60"/>
      </w:pPr>
      <w:r>
        <w:rPr>
          <w:rFonts w:ascii="Arial" w:cs="Arial" w:eastAsia="Arial" w:hAnsi="Arial"/>
          <w:sz w:val="22"/>
          <w:szCs w:val="22"/>
        </w:rPr>
        <w:t xml:space="preserve">Guarantor profile(s) present on application and in nCino where applicable</w:t>
      </w:r>
    </w:p>
    <w:p>
      <w:pPr>
        <w:pStyle w:val="ListParagraph"/>
        <w:numPr>
          <w:ilvl w:val="0"/>
          <w:numId w:val="2"/>
        </w:numPr>
        <w:spacing w:before="60" w:after="60"/>
      </w:pPr>
      <w:r>
        <w:rPr>
          <w:rFonts w:ascii="Arial" w:cs="Arial" w:eastAsia="Arial" w:hAnsi="Arial"/>
          <w:sz w:val="22"/>
          <w:szCs w:val="22"/>
        </w:rPr>
        <w:t xml:space="preserve">Requested amount field populated</w:t>
      </w:r>
    </w:p>
    <w:p>
      <w:pPr>
        <w:pStyle w:val="ListParagraph"/>
        <w:numPr>
          <w:ilvl w:val="0"/>
          <w:numId w:val="2"/>
        </w:numPr>
        <w:spacing w:before="60" w:after="60"/>
      </w:pPr>
      <w:r>
        <w:rPr>
          <w:rFonts w:ascii="Arial" w:cs="Arial" w:eastAsia="Arial" w:hAnsi="Arial"/>
          <w:sz w:val="22"/>
          <w:szCs w:val="22"/>
        </w:rPr>
        <w:t xml:space="preserve">All required supplemental forms present (Assignment of Deposit, Agent Authority Form, Authorized User Form, Auto Debit Form as applicable to loan type)</w:t>
      </w:r>
    </w:p>
    <w:p>
      <w:pPr>
        <w:spacing w:before="0" w:after="80"/>
      </w:pPr>
      <w:r>
        <w:t xml:space="preserve"/>
      </w:r>
    </w:p>
    <w:p>
      <w:pPr>
        <w:pStyle w:val="Heading3"/>
        <w:spacing w:before="200" w:after="80"/>
      </w:pPr>
      <w:r>
        <w:rPr>
          <w:rFonts w:ascii="Arial" w:cs="Arial" w:eastAsia="Arial" w:hAnsi="Arial"/>
          <w:b/>
          <w:bCs/>
          <w:color w:val="595959"/>
          <w:sz w:val="22"/>
          <w:szCs w:val="22"/>
        </w:rPr>
        <w:t xml:space="preserve">Phase 2 — Accuracy (verify correctness against source)</w:t>
      </w:r>
    </w:p>
    <w:p>
      <w:pPr>
        <w:pStyle w:val="ListParagraph"/>
        <w:numPr>
          <w:ilvl w:val="0"/>
          <w:numId w:val="2"/>
        </w:numPr>
        <w:spacing w:before="60" w:after="60"/>
      </w:pPr>
      <w:r>
        <w:rPr>
          <w:rFonts w:ascii="Arial" w:cs="Arial" w:eastAsia="Arial" w:hAnsi="Arial"/>
          <w:sz w:val="22"/>
          <w:szCs w:val="22"/>
        </w:rPr>
        <w:t xml:space="preserve">Emboss name field reflects individual name, not business name</w:t>
      </w:r>
    </w:p>
    <w:p>
      <w:pPr>
        <w:pStyle w:val="ListParagraph"/>
        <w:numPr>
          <w:ilvl w:val="0"/>
          <w:numId w:val="2"/>
        </w:numPr>
        <w:spacing w:before="60" w:after="60"/>
      </w:pPr>
      <w:r>
        <w:rPr>
          <w:rFonts w:ascii="Arial" w:cs="Arial" w:eastAsia="Arial" w:hAnsi="Arial"/>
          <w:sz w:val="22"/>
          <w:szCs w:val="22"/>
        </w:rPr>
        <w:t xml:space="preserve">Requested amount matches approved limit amount</w:t>
      </w:r>
    </w:p>
    <w:p>
      <w:pPr>
        <w:pStyle w:val="ListParagraph"/>
        <w:numPr>
          <w:ilvl w:val="0"/>
          <w:numId w:val="2"/>
        </w:numPr>
        <w:spacing w:before="60" w:after="60"/>
      </w:pPr>
      <w:r>
        <w:rPr>
          <w:rFonts w:ascii="Arial" w:cs="Arial" w:eastAsia="Arial" w:hAnsi="Arial"/>
          <w:sz w:val="22"/>
          <w:szCs w:val="22"/>
        </w:rPr>
        <w:t xml:space="preserve">Borrower and co-borrower names match nCino exactly</w:t>
      </w:r>
    </w:p>
    <w:p>
      <w:pPr>
        <w:pStyle w:val="ListParagraph"/>
        <w:numPr>
          <w:ilvl w:val="0"/>
          <w:numId w:val="2"/>
        </w:numPr>
        <w:spacing w:before="60" w:after="60"/>
      </w:pPr>
      <w:r>
        <w:rPr>
          <w:rFonts w:ascii="Arial" w:cs="Arial" w:eastAsia="Arial" w:hAnsi="Arial"/>
          <w:sz w:val="22"/>
          <w:szCs w:val="22"/>
        </w:rPr>
        <w:t xml:space="preserve">Application type matches loan purpose — flag if modification indicators are present on a new application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pPr>
              <w:spacing w:before="0" w:after="0"/>
            </w:pPr>
            <w:r>
              <w:rPr>
                <w:rFonts w:ascii="Arial" w:cs="Arial" w:eastAsia="Arial" w:hAnsi="Arial"/>
                <w:b/>
                <w:bCs/>
                <w:color w:val="595959"/>
                <w:sz w:val="22"/>
                <w:szCs w:val="22"/>
              </w:rPr>
              <w:t xml:space="preserve">Note on Secretary of State:  </w:t>
            </w:r>
            <w:r>
              <w:rPr>
                <w:rFonts w:ascii="Arial" w:cs="Arial" w:eastAsia="Arial" w:hAnsi="Arial"/>
                <w:color w:val="000000"/>
                <w:sz w:val="22"/>
                <w:szCs w:val="22"/>
              </w:rPr>
              <w:t xml:space="preserve">SOS standing is not included in the pre-Closing checklist. It requires querying an external registry, represents only 1.0% of return task volume, and may change between the time of check and Closing. SOS verification is better addressed as a standalone check earlier in the process at qualification or underwriting.</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Workstream 4: Address the Actimize Entry Reliability Problem</w:t>
      </w:r>
    </w:p>
    <w:p>
      <w:pPr>
        <w:spacing w:before="80" w:after="80"/>
      </w:pPr>
      <w:r>
        <w:rPr>
          <w:rFonts w:ascii="Arial" w:cs="Arial" w:eastAsia="Arial" w:hAnsi="Arial"/>
          <w:color w:val="000000"/>
          <w:sz w:val="22"/>
          <w:szCs w:val="22"/>
        </w:rPr>
        <w:t xml:space="preserve">The 79 Actimize-related tasks suggest a system gap where entries appear to succeed but do not persist. Recommended actions:</w:t>
      </w:r>
    </w:p>
    <w:p>
      <w:pPr>
        <w:pStyle w:val="ListParagraph"/>
        <w:numPr>
          <w:ilvl w:val="0"/>
          <w:numId w:val="2"/>
        </w:numPr>
        <w:spacing w:before="60" w:after="60"/>
      </w:pPr>
      <w:r>
        <w:rPr>
          <w:rFonts w:ascii="Arial" w:cs="Arial" w:eastAsia="Arial" w:hAnsi="Arial"/>
          <w:sz w:val="22"/>
          <w:szCs w:val="22"/>
        </w:rPr>
        <w:t xml:space="preserve">Determine whether the failure is concentrated by user, branch, loan type, or device/browser configuration</w:t>
      </w:r>
    </w:p>
    <w:p>
      <w:pPr>
        <w:pStyle w:val="ListParagraph"/>
        <w:numPr>
          <w:ilvl w:val="0"/>
          <w:numId w:val="2"/>
        </w:numPr>
        <w:spacing w:before="60" w:after="60"/>
      </w:pPr>
      <w:r>
        <w:rPr>
          <w:rFonts w:ascii="Arial" w:cs="Arial" w:eastAsia="Arial" w:hAnsi="Arial"/>
          <w:sz w:val="22"/>
          <w:szCs w:val="22"/>
        </w:rPr>
        <w:t xml:space="preserve">Develop a banker-facing verification step: after Actimize entry, confirm data is visible and saved before proceeding</w:t>
      </w:r>
    </w:p>
    <w:p>
      <w:pPr>
        <w:pStyle w:val="ListParagraph"/>
        <w:numPr>
          <w:ilvl w:val="0"/>
          <w:numId w:val="2"/>
        </w:numPr>
        <w:spacing w:before="60" w:after="60"/>
      </w:pPr>
      <w:r>
        <w:rPr>
          <w:rFonts w:ascii="Arial" w:cs="Arial" w:eastAsia="Arial" w:hAnsi="Arial"/>
          <w:sz w:val="22"/>
          <w:szCs w:val="22"/>
        </w:rPr>
        <w:t xml:space="preserve">Engage Banker Solutions to assess feasibility of a system-level validation prompt or entry confirmation screen</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Workstream 5: Investigate Business Banking Clean Loan Duration</w:t>
      </w:r>
    </w:p>
    <w:p>
      <w:pPr>
        <w:spacing w:before="80" w:after="80"/>
      </w:pPr>
      <w:r>
        <w:rPr>
          <w:rFonts w:ascii="Arial" w:cs="Arial" w:eastAsia="Arial" w:hAnsi="Arial"/>
          <w:color w:val="000000"/>
          <w:sz w:val="22"/>
          <w:szCs w:val="22"/>
        </w:rPr>
        <w:t xml:space="preserve">The 6.66-day clean loan average for BB requires a separate investigation. Key questions:</w:t>
      </w:r>
    </w:p>
    <w:p>
      <w:pPr>
        <w:pStyle w:val="ListParagraph"/>
        <w:numPr>
          <w:ilvl w:val="0"/>
          <w:numId w:val="2"/>
        </w:numPr>
        <w:spacing w:before="60" w:after="60"/>
      </w:pPr>
      <w:r>
        <w:rPr>
          <w:rFonts w:ascii="Arial" w:cs="Arial" w:eastAsia="Arial" w:hAnsi="Arial"/>
          <w:sz w:val="22"/>
          <w:szCs w:val="22"/>
        </w:rPr>
        <w:t xml:space="preserve">Which BB loan sub-types have the longest clean-loan Closing times and what drives them</w:t>
      </w:r>
    </w:p>
    <w:p>
      <w:pPr>
        <w:pStyle w:val="ListParagraph"/>
        <w:numPr>
          <w:ilvl w:val="0"/>
          <w:numId w:val="2"/>
        </w:numPr>
        <w:spacing w:before="60" w:after="60"/>
      </w:pPr>
      <w:r>
        <w:rPr>
          <w:rFonts w:ascii="Arial" w:cs="Arial" w:eastAsia="Arial" w:hAnsi="Arial"/>
          <w:sz w:val="22"/>
          <w:szCs w:val="22"/>
        </w:rPr>
        <w:t xml:space="preserve">Whether partial January tracking is misclassifying rework as clean, inflating the average</w:t>
      </w:r>
    </w:p>
    <w:p>
      <w:pPr>
        <w:pStyle w:val="ListParagraph"/>
        <w:numPr>
          <w:ilvl w:val="0"/>
          <w:numId w:val="2"/>
        </w:numPr>
        <w:spacing w:before="60" w:after="60"/>
      </w:pPr>
      <w:r>
        <w:rPr>
          <w:rFonts w:ascii="Arial" w:cs="Arial" w:eastAsia="Arial" w:hAnsi="Arial"/>
          <w:sz w:val="22"/>
          <w:szCs w:val="22"/>
        </w:rPr>
        <w:t xml:space="preserve">Whether multi-party coordination requirements account for measurable duration, and whether process changes could reduce coordination lag</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Workstream 6: Establish an Aging Rework Escalation Process</w:t>
      </w:r>
    </w:p>
    <w:p>
      <w:pPr>
        <w:spacing w:before="80" w:after="80"/>
      </w:pPr>
      <w:r>
        <w:rPr>
          <w:rFonts w:ascii="Arial" w:cs="Arial" w:eastAsia="Arial" w:hAnsi="Arial"/>
          <w:color w:val="000000"/>
          <w:sz w:val="22"/>
          <w:szCs w:val="22"/>
        </w:rPr>
        <w:t xml:space="preserve">Open return tasks unresolved after 10 business days should trigger manager escalation. Currently, tasks marked 'Waiting on someone else' can remain open indefinitely. A lightweight alert or dashboard flag would reduce the frequency of 30- to 42-day outstanding cases and bring down worst-case rework wait times.</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Workstream 7: Geographic and Manager-Level Analysis</w:t>
      </w:r>
    </w:p>
    <w:p>
      <w:pPr>
        <w:spacing w:before="80" w:after="80"/>
      </w:pPr>
      <w:r>
        <w:rPr>
          <w:rFonts w:ascii="Arial" w:cs="Arial" w:eastAsia="Arial" w:hAnsi="Arial"/>
          <w:color w:val="000000"/>
          <w:sz w:val="22"/>
          <w:szCs w:val="22"/>
        </w:rPr>
        <w:t xml:space="preserve">The Salesforce task data contains manager, market, and segment fields that have not been analyzed in this document. Rework volume may be concentrated among a small number of markets or origination teams. If so, targeted coaching or support in high-rework markets could produce faster results than a bank-wide rollout. This analysis should be completed before determining pilot scope for the pre-Closing gate.</w:t>
      </w:r>
    </w:p>
    <w:p>
      <w:pPr>
        <w:spacing w:before="0" w:after="160"/>
      </w:pPr>
      <w:r>
        <w:t xml:space="preserve"/>
      </w:r>
    </w:p>
    <w:p>
      <w:pPr>
        <w:pBdr>
          <w:bottom w:val="single" w:color="D6E4F0" w:sz="4" w:space="1"/>
        </w:pBdr>
        <w:spacing w:before="160" w:after="16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9. Recommended Next Steps</w:t>
      </w:r>
    </w:p>
    <w:p>
      <w:pPr>
        <w:spacing w:before="0"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2200"/>
        <w:gridCol w:w="17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Priority</w:t>
            </w:r>
          </w:p>
        </w:tc>
        <w:tc>
          <w:tcPr>
            <w:tcW w:type="dxa" w:w="4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Owner</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Timeline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Obtain fully-loaded daily cost of Closing throughput capacity from Finance and HR to complete the financial case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Finance / HR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 weeks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Decompose 'Missing Required Data' reason code via 30–50 loan sample review; classify the 53 unaccounted Salesforce tasks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Credit Card Operations / Analytics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2–3 weeks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Analyze Salesforce task data by market and manager to identify rework concentration and inform pilot 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Analytics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2–3 weeks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Shift Closing performance reporting to adjusted metric; update dashboards to clearly separate rework share (56%/65%) from overstatement magnitude (+127%/+186%)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Data / Analytics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30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Scope implementation cost for pre-Closing gate (procedural vs. system-enforced); engage IT if system changes are needed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Credit Card Operations + 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30–45 days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Implement aging escalation trigger for return tasks open more than 10 business days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Credit Card Operations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30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Design, pilot, and measure Phase 1 completeness checklist in 1–2 high-rework markets; track against rework rate and return task volume baselines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Credit Card Operations + Retail Banking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60–90 days</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Engage Banker Solutions on Actimize entry confirmation and validation options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Banker Solutions + Training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45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Investigate Business Banking clean loan duration by sub-product as a separate parallel workstream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Credit Card Operations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60 days</w:t>
            </w:r>
          </w:p>
        </w:tc>
      </w:tr>
    </w:tbl>
    <w:p>
      <w:pPr>
        <w:spacing w:before="0" w:after="160"/>
      </w:pPr>
      <w:r>
        <w:t xml:space="preserve"/>
      </w:r>
    </w:p>
    <w:p>
      <w:pPr>
        <w:pBdr>
          <w:bottom w:val="single" w:color="D6E4F0" w:sz="4" w:space="1"/>
        </w:pBdr>
        <w:spacing w:before="160" w:after="16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10. Appendix</w:t>
      </w:r>
    </w:p>
    <w:p>
      <w:pPr>
        <w:pStyle w:val="Heading2"/>
        <w:spacing w:before="280" w:after="120"/>
      </w:pPr>
      <w:r>
        <w:rPr>
          <w:rFonts w:ascii="Arial" w:cs="Arial" w:eastAsia="Arial" w:hAnsi="Arial"/>
          <w:b/>
          <w:bCs/>
          <w:color w:val="2E75B6"/>
          <w:sz w:val="26"/>
          <w:szCs w:val="26"/>
        </w:rPr>
        <w:t xml:space="preserve">A. Summary Metric Comparison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Business Banking</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Consumer</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Derivation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Booked Loans (period)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1,034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Loans (period)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68 (54.0%)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164 (15.9%)</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Total Closing 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877.54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1,381.48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Total Rework Wait 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491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898 days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Origination system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Share of Reported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 Total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Reported Closing (Avg/Loan)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6.96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1.34 days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Chart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Winsorized Average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6.10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0.79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Chart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Closing Adjusted (Calculated)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3.07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0.47 days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(Total−Rework)÷Booked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Closing Adjusted (Chart)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3.10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0.47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Chart; 0.03d gap noted in Sec 4.1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Reported vs. Adjusted Overstatement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+127%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+186%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(Reported−Adj)÷Adj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Wait (per booked loan)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3.90 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0.87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Rework÷Booked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Wait (per affected loan)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7.22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5.48 days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Rework÷Rework Loans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Clean Loan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870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Booked − Rework Loans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Clean Loan Average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6.66 days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0.56 days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Adj Duration÷Clean Loans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Rework Multiplier vs. Clean Loan Avg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9.85x (~10x)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5.48÷0.56</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B. Annualized Volume Projections</w:t>
      </w:r>
    </w:p>
    <w:p>
      <w:pPr>
        <w:spacing w:before="80" w:after="80"/>
      </w:pPr>
      <w:r>
        <w:rPr>
          <w:rFonts w:ascii="Arial" w:cs="Arial" w:eastAsia="Arial" w:hAnsi="Arial"/>
          <w:color w:val="000000"/>
          <w:sz w:val="22"/>
          <w:szCs w:val="22"/>
        </w:rPr>
        <w:t xml:space="preserve">Based on 74-day period. Annualization factor: 4.93x. January figures are partial; actual annual volumes are likely higher.</w:t>
      </w:r>
    </w:p>
    <w:p>
      <w:pPr>
        <w:spacing w:before="0"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800"/>
        <w:gridCol w:w="2560"/>
        <w:gridCol w:w="29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Metric</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74-Day Observed</w:t>
            </w:r>
          </w:p>
        </w:tc>
        <w:tc>
          <w:tcPr>
            <w:tcW w:type="dxa" w:w="2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Annualized (~4.93x)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BB Booked Loans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126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~621</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BB Rework Loans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68</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~335</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BB Total Closing Duration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877.54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~4,327 days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BB Rework Wait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491 days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~2,422 days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BB Closing Adjusted Duration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386.54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~1,906 days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Consumer Booked Loans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1,034</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~5,100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Consumer Rework Loans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164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~809</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Consumer Total Closing Duration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1,381.48 days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~6,811 days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Consumer Rework Wait Days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898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~4,429 days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Consumer Closing Adjusted Duration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483.48 days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~2,384 days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Combined Rework Loans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232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~1,144</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Combined Rework Wait Days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1,389 days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~6,851 days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Combined Return Tasks (Salesforce)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523 tasks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~2,580 tasks (~215/mo)</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Conservative Recovery (Sec 6.3, exact rates)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  —</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~3,497 days (~13.4 work-years)</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C. Task Category Definitions and Examples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jc w:val="left"/>
            </w:pPr>
            <w:r>
              <w:rPr>
                <w:rFonts w:ascii="Arial" w:cs="Arial" w:eastAsia="Arial" w:hAnsi="Arial"/>
                <w:b/>
                <w:bCs/>
                <w:color w:val="FFFFFF"/>
                <w:sz w:val="20"/>
                <w:szCs w:val="20"/>
              </w:rPr>
              <w:t xml:space="preserve">Representative Example from Task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date / signature / initials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Completeness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'Please add the date by each signature on the application'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Actimize / ID data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Completeness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'The ID EXP DATE &amp; ID ISSUE DATE are missing from nCino. Please add through Actimize.'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signed application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Completeness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signed nCino application'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guarantor information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Completeness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'Please add the guarantor information to the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Auth user / agent authority 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Completeness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'Missing authorized user form signed by both parties'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Assignment of deposit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Completeness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'Add the date and client savings # on the Assignment of Deposit'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Requested amount field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Completeness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'The Requested Amount field needs to be filled in with the approved limit'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Data errors / wrong info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Accuracy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'TIN wrong on signed paper application'; 'please fix date of birth'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Emboss name (wrong name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Accuracy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'Please correct the emboss name in the guarantor section to the individual’s name'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Card issue field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Accuracy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'Please put true where it says issue 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Existing account / modification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Process routing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'This should be a modification as this client already has an existing account'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Secretary of State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External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'SOS is not in good standing'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Expired approval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Timing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'The approval has expired. Please have this request withdrawn by underwriting'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Not yet classified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Pending</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000000"/>
                <w:sz w:val="20"/>
                <w:szCs w:val="20"/>
              </w:rPr>
              <w:t xml:space="preserve">Includes address issues (~6), auto debit form deficiencies (~6), and residual catch-all (~41 tasks)</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D. Known Data Limitations and Caveats</w:t>
      </w:r>
    </w:p>
    <w:p>
      <w:pPr>
        <w:pStyle w:val="ListParagraph"/>
        <w:numPr>
          <w:ilvl w:val="0"/>
          <w:numId w:val="2"/>
        </w:numPr>
        <w:spacing w:before="60" w:after="60"/>
      </w:pPr>
      <w:r>
        <w:rPr>
          <w:rFonts w:ascii="Arial" w:cs="Arial" w:eastAsia="Arial" w:hAnsi="Arial"/>
          <w:sz w:val="22"/>
          <w:szCs w:val="22"/>
        </w:rPr>
        <w:t xml:space="preserve">Rework tracking implemented late January 2026; January data is partial and all rework rates are likely understated</w:t>
      </w:r>
    </w:p>
    <w:p>
      <w:pPr>
        <w:pStyle w:val="ListParagraph"/>
        <w:numPr>
          <w:ilvl w:val="0"/>
          <w:numId w:val="2"/>
        </w:numPr>
        <w:spacing w:before="60" w:after="60"/>
      </w:pPr>
      <w:r>
        <w:rPr>
          <w:rFonts w:ascii="Arial" w:cs="Arial" w:eastAsia="Arial" w:hAnsi="Arial"/>
          <w:sz w:val="22"/>
          <w:szCs w:val="22"/>
        </w:rPr>
        <w:t xml:space="preserve">BB sample (126 booked loans, 74-day period) is small; BB sub-portfolio conclusions should be interpreted cautiously</w:t>
      </w:r>
    </w:p>
    <w:p>
      <w:pPr>
        <w:pStyle w:val="ListParagraph"/>
        <w:numPr>
          <w:ilvl w:val="0"/>
          <w:numId w:val="2"/>
        </w:numPr>
        <w:spacing w:before="60" w:after="60"/>
      </w:pPr>
      <w:r>
        <w:rPr>
          <w:rFonts w:ascii="Arial" w:cs="Arial" w:eastAsia="Arial" w:hAnsi="Arial"/>
          <w:sz w:val="22"/>
          <w:szCs w:val="22"/>
        </w:rPr>
        <w:t xml:space="preserve">The 70% 'Missing Required Data' formal reason code has not been decomposed; this is the primary gap in the root cause analysis</w:t>
      </w:r>
    </w:p>
    <w:p>
      <w:pPr>
        <w:pStyle w:val="ListParagraph"/>
        <w:numPr>
          <w:ilvl w:val="0"/>
          <w:numId w:val="2"/>
        </w:numPr>
        <w:spacing w:before="60" w:after="60"/>
      </w:pPr>
      <w:r>
        <w:rPr>
          <w:rFonts w:ascii="Arial" w:cs="Arial" w:eastAsia="Arial" w:hAnsi="Arial"/>
          <w:sz w:val="22"/>
          <w:szCs w:val="22"/>
        </w:rPr>
        <w:t xml:space="preserve">Salesforce task data covers all return tasks, not limited to booked loans; slight overstatement of deficiency rate is possible vs. booked-only analysis</w:t>
      </w:r>
    </w:p>
    <w:p>
      <w:pPr>
        <w:pStyle w:val="ListParagraph"/>
        <w:numPr>
          <w:ilvl w:val="0"/>
          <w:numId w:val="2"/>
        </w:numPr>
        <w:spacing w:before="60" w:after="60"/>
      </w:pPr>
      <w:r>
        <w:rPr>
          <w:rFonts w:ascii="Arial" w:cs="Arial" w:eastAsia="Arial" w:hAnsi="Arial"/>
          <w:sz w:val="22"/>
          <w:szCs w:val="22"/>
        </w:rPr>
        <w:t xml:space="preserve">53 of 523 Salesforce tasks (10.1%) are unclassified; the 86.2% preventable estimate applies only to the 470 classified tasks</w:t>
      </w:r>
    </w:p>
    <w:p>
      <w:pPr>
        <w:pStyle w:val="ListParagraph"/>
        <w:numPr>
          <w:ilvl w:val="0"/>
          <w:numId w:val="2"/>
        </w:numPr>
        <w:spacing w:before="60" w:after="60"/>
      </w:pPr>
      <w:r>
        <w:rPr>
          <w:rFonts w:ascii="Arial" w:cs="Arial" w:eastAsia="Arial" w:hAnsi="Arial"/>
          <w:sz w:val="22"/>
          <w:szCs w:val="22"/>
        </w:rPr>
        <w:t xml:space="preserve">BB Closing Adjusted calculated (3.07 days) differs by 0.03 days from chart value (3.10 days); calculated value used throughout for internal consistency</w:t>
      </w:r>
    </w:p>
    <w:p>
      <w:pPr>
        <w:pStyle w:val="ListParagraph"/>
        <w:numPr>
          <w:ilvl w:val="0"/>
          <w:numId w:val="2"/>
        </w:numPr>
        <w:spacing w:before="60" w:after="60"/>
      </w:pPr>
      <w:r>
        <w:rPr>
          <w:rFonts w:ascii="Arial" w:cs="Arial" w:eastAsia="Arial" w:hAnsi="Arial"/>
          <w:sz w:val="22"/>
          <w:szCs w:val="22"/>
        </w:rPr>
        <w:t xml:space="preserve">BB clean loan average (6.66 days) has no confirmed explanation; causes are speculative pending separate investigation</w:t>
      </w:r>
    </w:p>
    <w:p>
      <w:pPr>
        <w:pStyle w:val="ListParagraph"/>
        <w:numPr>
          <w:ilvl w:val="0"/>
          <w:numId w:val="2"/>
        </w:numPr>
        <w:spacing w:before="60" w:after="60"/>
      </w:pPr>
      <w:r>
        <w:rPr>
          <w:rFonts w:ascii="Arial" w:cs="Arial" w:eastAsia="Arial" w:hAnsi="Arial"/>
          <w:sz w:val="22"/>
          <w:szCs w:val="22"/>
        </w:rPr>
        <w:t xml:space="preserve">Annualized projections assume constant origination rates; actual volumes may differ</w:t>
      </w:r>
    </w:p>
    <w:p>
      <w:pPr>
        <w:pStyle w:val="ListParagraph"/>
        <w:numPr>
          <w:ilvl w:val="0"/>
          <w:numId w:val="2"/>
        </w:numPr>
        <w:spacing w:before="60" w:after="60"/>
      </w:pPr>
      <w:r>
        <w:rPr>
          <w:rFonts w:ascii="Arial" w:cs="Arial" w:eastAsia="Arial" w:hAnsi="Arial"/>
          <w:sz w:val="22"/>
          <w:szCs w:val="22"/>
        </w:rPr>
        <w:t xml:space="preserve">Implementation cost for the pre-Closing gate has not been estimated; required before investment approval</w:t>
      </w:r>
    </w:p>
    <w:p>
      <w:pPr>
        <w:pStyle w:val="ListParagraph"/>
        <w:numPr>
          <w:ilvl w:val="0"/>
          <w:numId w:val="2"/>
        </w:numPr>
        <w:spacing w:before="60" w:after="60"/>
      </w:pPr>
      <w:r>
        <w:rPr>
          <w:rFonts w:ascii="Arial" w:cs="Arial" w:eastAsia="Arial" w:hAnsi="Arial"/>
          <w:sz w:val="22"/>
          <w:szCs w:val="22"/>
        </w:rPr>
        <w:t xml:space="preserve">Geographic and manager-level rework concentration has not been analyzed; may significantly affect pilot scope and strategy</w:t>
      </w:r>
    </w:p>
    <w:p>
      <w:pPr>
        <w:pStyle w:val="ListParagraph"/>
        <w:numPr>
          <w:ilvl w:val="0"/>
          <w:numId w:val="2"/>
        </w:numPr>
        <w:spacing w:before="60" w:after="60"/>
      </w:pPr>
      <w:r>
        <w:rPr>
          <w:rFonts w:ascii="Arial" w:cs="Arial" w:eastAsia="Arial" w:hAnsi="Arial"/>
          <w:sz w:val="22"/>
          <w:szCs w:val="22"/>
        </w:rPr>
        <w:t xml:space="preserve">Fully-loaded cost of Closing throughput capacity has not been obtained from Finance and HR; cost savings cannot be calculated without it</w:t>
      </w:r>
    </w:p>
    <w:p>
      <w:pPr>
        <w:spacing w:before="0" w:after="160"/>
      </w:pPr>
      <w:r>
        <w:t xml:space="preserve"/>
      </w:r>
    </w:p>
    <w:p>
      <w:pPr>
        <w:pBdr>
          <w:bottom w:val="single" w:color="D6E4F0" w:sz="4" w:space="1"/>
        </w:pBdr>
        <w:spacing w:before="160" w:after="160"/>
      </w:pPr>
      <w:r>
        <w:t xml:space="preserve"/>
      </w:r>
    </w:p>
    <w:p>
      <w:pPr>
        <w:spacing w:before="80" w:after="0"/>
      </w:pPr>
      <w:r>
        <w:rPr>
          <w:rFonts w:ascii="Arial" w:cs="Arial" w:eastAsia="Arial" w:hAnsi="Arial"/>
          <w:i/>
          <w:iCs/>
          <w:color w:val="595959"/>
          <w:sz w:val="18"/>
          <w:szCs w:val="18"/>
        </w:rPr>
        <w:t xml:space="preserve">Internal document — Version 4.0, Final Draft. Data covers booked loans January 1 – March 16, 2026. Rework tracking implemented late January; rates are likely understated. Portfolios: Business Banking – Credit Card and Consumer – Credit Card. All projections are estimates pending validation against full-year forecasts and Finance cost inputs.</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rPr>
        <w:rFonts w:ascii="Arial" w:cs="Arial" w:eastAsia="Arial" w:hAnsi="Arial"/>
        <w:sz w:val="22"/>
        <w:szCs w:val="22"/>
      </w:rPr>
    </w:lvl>
    <w:lvl w:ilvl="1" w15:tentative="1">
      <w:start w:val="1"/>
      <w:numFmt w:val="bullet"/>
      <w:lvlText w:val="◦"/>
      <w:lvlJc w:val="left"/>
      <w:pPr>
        <w:spacing w:before="40" w:after="40"/>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spacing w:before="60" w:after="60"/>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2026-03-18T16:34:30.136Z</dcterms:created>
  <dcterms:modified xsi:type="dcterms:W3CDTF">2026-03-18T16:34:30.183Z</dcterms:modified>
</cp:coreProperties>
</file>

<file path=docProps/custom.xml><?xml version="1.0" encoding="utf-8"?>
<Properties xmlns="http://schemas.openxmlformats.org/officeDocument/2006/custom-properties" xmlns:vt="http://schemas.openxmlformats.org/officeDocument/2006/docPropsVTypes"/>
</file>