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40"/>
        </w:rPr>
        <w:t>Open Interview</w:t>
      </w:r>
    </w:p>
    <w:p>
      <w:pPr>
        <w:jc w:val="center"/>
      </w:pPr>
      <w:r>
        <w:rPr>
          <w:sz w:val="26"/>
        </w:rPr>
        <w:t>$ pip install open-interview</w:t>
      </w:r>
    </w:p>
    <w:p/>
    <w:p>
      <w:r>
        <w:rPr>
          <w:sz w:val="16"/>
        </w:rPr>
        <w:t>Author: Minwoo(Daniel) Park</w:t>
        <w:br/>
        <w:t>GitHub Repository: https://github.com/dsdanielpark/open-interview</w:t>
      </w:r>
    </w:p>
    <w:p/>
    <w:tbl>
      <w:tblPr>
        <w:tblStyle w:val="TableGrid"/>
        <w:tblW w:type="auto" w:w="0"/>
        <w:tblLook w:firstColumn="1" w:firstRow="1" w:lastColumn="0" w:lastRow="0" w:noHBand="0" w:noVBand="1" w:val="04A0"/>
      </w:tblPr>
      <w:tblGrid>
        <w:gridCol w:w="10540"/>
      </w:tblGrid>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shd w:fill="000000"/>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color w:val="FFFFFF"/>
                <w:sz w:val="24"/>
              </w:rPr>
              <w:t>Q: Can you tell me more about your experience developing brain tumor segmentation models using the U-Net architecture? What specific techniques did you employ to improve the model's performance on MRI and CT scans?</w:t>
            </w:r>
          </w:p>
        </w:tc>
      </w:tr>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sz w:val="24"/>
              </w:rPr>
              <w:t>A: During my time at Tesser Inc., I worked extensively on developing deep learning models for medical image analysis, particularly focusing on brain tumor segmentation from MRI and CT scans. One of the key architectures I utilized was the U-Net, which has proven to be highly effective for semantic segmentation tasks in medical imaging. To enhance the model's performance, I experimented with various techniques such as data augmentation, transfer learning, and hyperparameter tuning. Additionally, I incorporated attention mechanisms and skip connections to help the model better capture multi-scale features and improve its ability to localize tumors accurately. I also explored the use of 3D U-Net variants to take advantage of the volumetric nature of the imaging data, which yielded promising results in terms of segmentation quality and robustness. Throughout the development process, I collaborated closely with medical experts to validate the model's outputs and ensure clinical relevance. By iteratively refining the model based on their feedback and insights, I was able to achieve state-of-the-art performance on brain tumor segmentation tasks, contributing to the development of automated tools for cancer diagnosis and treatment planning.</w:t>
            </w:r>
          </w:p>
        </w:tc>
      </w:tr>
    </w:tbl>
    <w:p/>
    <w:tbl>
      <w:tblPr>
        <w:tblStyle w:val="TableGrid"/>
        <w:tblW w:type="auto" w:w="0"/>
        <w:tblLook w:firstColumn="1" w:firstRow="1" w:lastColumn="0" w:lastRow="0" w:noHBand="0" w:noVBand="1" w:val="04A0"/>
      </w:tblPr>
      <w:tblGrid>
        <w:gridCol w:w="10540"/>
      </w:tblGrid>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shd w:fill="000000"/>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color w:val="FFFFFF"/>
                <w:sz w:val="24"/>
              </w:rPr>
              <w:t>Q: I noticed that you have experience working with various medical imaging modalities, including MRI, CT, and metabolomics data. Can you elaborate on the challenges you faced when dealing with these different data types and how you addressed them?</w:t>
            </w:r>
          </w:p>
        </w:tc>
      </w:tr>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sz w:val="24"/>
              </w:rPr>
              <w:t>A: Working with diverse medical imaging modalities and data types posed several challenges that required careful consideration and tailored approaches. One of the primary challenges was the heterogeneity in data formats, resolutions, and quality across different modalities. To address this, I developed robust preprocessing pipelines that could handle the specific characteristics of each modality, such as noise reduction, intensity normalization, and artifact removal. This ensured that the data was standardized and suitable for downstream analysis. Another challenge was the limited availability of labeled data, particularly for rare conditions or novel biomarkers. To overcome this, I employed techniques such as data augmentation, transfer learning, and semi-supervised learning to leverage unlabeled or partially labeled data effectively. This allowed me to train models with improved generalization capabilities and robustness to data scarcity. Additionally, integrating multi-modal data posed challenges in terms of data alignment, fusion, and interpretation. I explored various strategies, such as image registration, feature-level fusion, and decision-level fusion, to effectively combine information from different modalities and extract meaningful insights. This required close collaboration with domain experts to validate the biological relevance and clinical significance of the findings. Throughout my work, I also emphasized the importance of rigorous evaluation and validation procedures, using appropriate metrics and cross-validation techniques to assess the models' performance and reliability across different data types and patient populations. By addressing these challenges systematically, I was able to develop robust and generalizable models that could effectively analyze and interpret complex medical imaging data, contributing to improved diagnostic and prognostic capabilities in healthcare applications.</w:t>
            </w:r>
          </w:p>
        </w:tc>
      </w:tr>
    </w:tbl>
    <w:p/>
    <w:tbl>
      <w:tblPr>
        <w:tblStyle w:val="TableGrid"/>
        <w:tblW w:type="auto" w:w="0"/>
        <w:tblLook w:firstColumn="1" w:firstRow="1" w:lastColumn="0" w:lastRow="0" w:noHBand="0" w:noVBand="1" w:val="04A0"/>
      </w:tblPr>
      <w:tblGrid>
        <w:gridCol w:w="10540"/>
      </w:tblGrid>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shd w:fill="000000"/>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color w:val="FFFFFF"/>
                <w:sz w:val="24"/>
              </w:rPr>
              <w:t>Q: Your resume mentions your involvement in developing algorithms for energy optimization and anomaly detection in industrial settings, such as the Sihwa-Banwol industrial complex. Can you provide more details about the specific techniques you used and the impact of your work?</w:t>
            </w:r>
          </w:p>
        </w:tc>
      </w:tr>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sz w:val="24"/>
              </w:rPr>
              <w:t>A: During my time at AI the Nutrigene Inc., I had the opportunity to work on a project focused on energy optimization and anomaly detection for the Sihwa-Banwol industrial complex. The goal was to develop intelligent algorithms that could analyze large-scale sensor data and optimize energy consumption while identifying potential anomalies or faults in the system. To tackle this challenge, I employed a combination of machine learning and optimization techniques. Firstly, I developed a data preprocessing pipeline to handle the vast amount of sensor data, performing tasks such as data cleaning, normalization, and feature extraction. This ensured that the data was in a suitable format for subsequent analysis. Next, I applied various machine learning algorithms, including time series forecasting models (e.g., LSTM, Prophet) and unsupervised anomaly detection methods (e.g., Isolation Forest, Autoencoders), to predict energy demand patterns and identify unusual behavior or deviations from normal operating conditions. These models were trained on historical data and continuously updated with real-time sensor readings to adapt to changing conditions. To optimize energy consumption, I formulated the problem as a constrained optimization task, considering factors such as energy supply, demand, and operational constraints. I utilized techniques such as linear programming, genetic algorithms, and reinforcement learning to find optimal control strategies that minimized energy waste while maintaining system stability and performance. The developed algorithms were integrated into a real-time monitoring and control system, enabling automated decision-making and prompt response to anomalies or inefficiencies. The impact of this work was significant, as it led to substantial energy savings, reduced operational costs, and improved system reliability for the industrial complex. The algorithms helped identify and prevent potential failures, minimizing downtime and enhancing overall productivity. Additionally, the insights gained from the data analysis provided valuable feedback for process optimization and maintenance planning. The success of this project demonstrated the potential of AI-driven solutions in industrial settings, paving the way for further applications in energy management and predictive maintenance.</w:t>
            </w:r>
          </w:p>
        </w:tc>
      </w:tr>
    </w:tbl>
    <w:p/>
    <w:tbl>
      <w:tblPr>
        <w:tblStyle w:val="TableGrid"/>
        <w:tblW w:type="auto" w:w="0"/>
        <w:tblLook w:firstColumn="1" w:firstRow="1" w:lastColumn="0" w:lastRow="0" w:noHBand="0" w:noVBand="1" w:val="04A0"/>
      </w:tblPr>
      <w:tblGrid>
        <w:gridCol w:w="10540"/>
      </w:tblGrid>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shd w:fill="000000"/>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color w:val="FFFFFF"/>
                <w:sz w:val="24"/>
              </w:rPr>
              <w:t>Q: I see that you have worked on projects involving natural language processing (NLP) and computer vision for biomedical applications, such as extracting protein interactions and molecular structures from Alzheimer's disease research papers. Can you discuss the unique challenges you encountered in this domain and how you addressed them?</w:t>
            </w:r>
          </w:p>
        </w:tc>
      </w:tr>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sz w:val="24"/>
              </w:rPr>
              <w:t>A: Applying natural language processing (NLP) and computer vision techniques to biomedical applications, particularly in the context of Alzheimer's disease research, presented several unique challenges. One of the primary challenges was the complex and specialized nature of the biomedical domain language. Research papers in this field often contain a high density of technical terms, acronyms, and domain-specific jargon, which can be difficult for general-purpose NLP models to accurately interpret. To overcome this, I employed domain-specific word embeddings and language models that were pre-trained on large corpora of biomedical text. These models captured the semantic relationships and context-specific meanings of biomedical terms, enabling more accurate information extraction and understanding. Another challenge was the variability and ambiguity in the way protein interactions and molecular structures were described in research papers. Authors often use different naming conventions, abbreviations, and synonyms, making it difficult to consistently identify and extract relevant information. To address this, I developed rule-based and machine learning-based approaches that leveraged domain knowledge and linguistic patterns to normalize and standardize the extracted entities. This involved creating comprehensive dictionaries and ontologies of protein and molecule names, as well as utilizing techniques such as named entity recognition and relation extraction to identify and link the relevant information. Integrating information from both text and visual sources (e.g., molecular structure diagrams) posed additional challenges. I explored multi-modal learning approaches that could effectively combine textual and visual features to enhance the understanding of protein interactions and structures. This involved developing computer vision models to recognize and extract relevant visual elements from research papers, such as molecular diagrams and interaction networks, and aligning them with the corresponding textual descriptions. Throughout the project, I collaborated closely with domain experts, including biologists and Alzheimer's disease researchers, to validate the extracted information and ensure its biological relevance and accuracy. Their insights and feedback were crucial in refining the models and improving the overall performance of the system. By addressing these challenges, I was able to develop a comprehensive and automated pipeline for extracting and analyzing protein interactions and molecular structures from Alzheimer's disease literature. This work contributed to accelerating the discovery process, enabling researchers to quickly access and integrate relevant information from vast amounts of published research, ultimately supporting the development of new hypotheses and therapeutic strategies for Alzheimer's disease.</w:t>
            </w:r>
          </w:p>
        </w:tc>
      </w:tr>
    </w:tbl>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eamViewer15" w:hAnsi="TeamViewer15"/>
      <w:sz w:val="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