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TAFFIES：用于开发集成可扩展</w:t>
        <w:br/>
        <w:t>反馈系统的定制化自动反馈框架</w:t>
      </w:r>
    </w:p>
    <w:p/>
    <w:p>
      <w:pPr>
        <w:jc w:val="center"/>
      </w:pPr>
      <w:r>
        <w:rPr>
          <w:i/>
          <w:sz w:val="24"/>
        </w:rPr>
        <w:t>TAFFIES: Tailored Automated Feedback Framework for Developing</w:t>
        <w:br/>
        <w:t>Integrated and Extensible Feedback Systems</w:t>
      </w:r>
    </w:p>
    <w:p/>
    <w:p>
      <w:pPr>
        <w:jc w:val="center"/>
      </w:pPr>
      <w:r>
        <w:rPr>
          <w:sz w:val="24"/>
        </w:rPr>
        <w:t>Matthew Pike · Boon Giin Lee · Dave Towey</w:t>
      </w:r>
    </w:p>
    <w:p>
      <w:pPr>
        <w:jc w:val="center"/>
      </w:pPr>
      <w:r>
        <w:rPr>
          <w:sz w:val="20"/>
        </w:rPr>
        <w:t>宁波诺丁汉大学 计算机科学学院，宁波 315100，中国</w:t>
      </w:r>
    </w:p>
    <w:p>
      <w:pPr>
        <w:jc w:val="center"/>
      </w:pPr>
      <w:r>
        <w:rPr>
          <w:sz w:val="18"/>
        </w:rPr>
        <w:t>SN Computer Science (2022) 3:159</w:t>
        <w:br/>
        <w:t>收稿日期：2021年10月30日 / 接收日期：2022年1月13日 / 在线发表日期：2022年2月10日</w:t>
        <w:br/>
        <w:t>© 作者，Springer Nature Singapore Pte Ltd 独家许可，2022年</w:t>
      </w:r>
    </w:p>
    <w:p/>
    <w:p>
      <w:pPr>
        <w:pStyle w:val="Heading1"/>
      </w:pPr>
      <w:r>
        <w:t>摘  要</w:t>
      </w:r>
    </w:p>
    <w:p>
      <w:r>
        <w:t>为学生的编程课程作业提交提供高质量、及时且具有形成性的反馈，是计算机科学（CS）教育者面临的一大难题。自动反馈系统（AFS）能够为学生的作业提供即时反馈，且无需学生亲临课堂——在COVID-19封锁背景下的教育中，这一考量愈发重要。然而，现有AFS提供的反馈质量令人担忧，许多系统仅仅呈现一个分数、一个二元分类（通过/不通过），或者一个基本的错误提示（"程序无法运行"）。这类反馈缺乏如何解决问题的指导，令人怀疑这些系统能否促进学生对相关知识或学习活动的深度参与。本文提出了TAFFIES——一个用于支撑开发能够为学生的解决方案提供高质量、定制化反馈的AFS的框架。我们通过将其应用于开发一个AFS来对160名CS学生在一门数据库入门课程中的作业进行评分和反馈，对框架进行了测试。与典型的入门级课程作业反馈与评分（通常会引发大量的学生争议和修改请求）形成鲜明对比的是，我们的AFS部署实现了零评分申诉。也没有发现任何评分错误，或存在不一致或不公平的情况。学生对AFS的反馈普遍积极，有评论指出AFS提升了学生的学习动机。我们通过反思性实践、学生评估以及焦点小组（涉及同伴教师）分析，考察了使用TAFFIES设计、部署和演进AFS的经验。</w:t>
      </w:r>
    </w:p>
    <w:p>
      <w:r>
        <w:rPr>
          <w:b/>
        </w:rPr>
        <w:t>关键词：</w:t>
      </w:r>
      <w:r>
        <w:t>自动反馈系统 · 反馈 · 评估 · 教与学</w:t>
      </w:r>
    </w:p>
    <w:p/>
    <w:p>
      <w:pPr>
        <w:pStyle w:val="Heading1"/>
      </w:pPr>
      <w:r>
        <w:t>1. 引言</w:t>
      </w:r>
    </w:p>
    <w:p>
      <w:r>
        <w:t>COVID-19大流行的影响使许多高等教育机构（HEI）措手不及，迫使它们迅速重新思考和修订其教学方式，尤其是在评估和向学生提供反馈方面[1–3]。对于计算机科学（CS）教育者而言尤其如此，他们依赖在实践实验课中与学生面对面互动来提供指导，而这些学生可能才刚刚开始学习编程。</w:t>
      </w:r>
    </w:p>
    <w:p>
      <w:r>
        <w:t>编程是一项复杂的活动，要求学习者遵循严格的语法规则，解读复杂（且常常反直觉的）错误报告，并开发正确的逻辑语句和结构以解决给定的问题或任务[4]。学习编程是一项以实践为主导的活动[5]。学生无法仅靠阅读教材或参加讲座来学会编程。实践是获得编程技能的关键因素[6]。实验课不仅是CS学生编写代码的机会，也让他们能够从教学人员和同伴那里获得即时、情境化的解决方案反馈。通常，这种反馈是多模态的——通过口头讲解、用手指指向屏幕上的代码，以及偶尔直接编辑学生代码来展示必要的修复操作。反馈的提供被认为是巩固学生学习的关键因素[7]。同时，反馈也可能成为学生极大不满的来源——据报道，学生对反馈的满意度通常低于对课程任何其他方面的满意度[8]。COVID-19导致了日益分散和混合的高等教育学习环境，这给传统形式的反馈供给带来了挑战，因此需要替代方法。</w:t>
      </w:r>
    </w:p>
    <w:p>
      <w:r>
        <w:t>许多CS教育者已经探索使用自动反馈系统（AFS）为编程初学者提供反馈[9–12]。AFS具有许多吸引人的特性——包括及时性和一致性——并且可以作为一种随时可用的资源，使学生能够在规定课时之外获得形成性反馈。然而，AFS并非万能药，其使用也存在许多不足。学生经常反映AFS的反馈不够详细或具体，可能只提供"通过或不通过"的表现指标，几乎没有关于如何改进或修复代码的指导[13]。教育者也指出了一些问题，包括这些系统在特定评估中的适应性，这通常需要额外编程来克服AFS本身的技术限制[13]。</w:t>
      </w:r>
    </w:p>
    <w:p>
      <w:r>
        <w:t>市面上有许多AFS框架和软件工具可供教育者使用[14–18]。总体而言，这些工具高度聚焦于识别学生解决方案的正确性。虽然给定解决方案的正确性很重要，但在评估AFS的成功时，也必须考虑为学生量身定制适当反馈的能力。本文探讨了一种开发和部署AFS的替代方法。具体而言，我们提出了一个用于开发AFS的框架：TAFFIES（Tailored Automated Feedback Framework for Developing Integrated and Extensible Feedback Systems，用于开发集成可扩展反馈系统的定制化自动反馈框架）。TAFFIES以一种促进对学生解决方案生成定制化、详细反馈的方式来构建AFS的开发。使用基于TAFFIES的方法开发AFS，教育者只在学生提交解决方案之后才开始生成和构建反馈。这与传统方法形成对比——在传统方法中，评分逻辑和反馈通常与任务规格说明同时准备。此外，TAFFIES将重点放在生成定制化反馈上，而不是简单地评估解决方案的正确性（正如现有AFS常见的那样）：这是通过将对学生解决方案的直接检查作为开发过程的一部分来实现的。</w:t>
      </w:r>
    </w:p>
    <w:p>
      <w:pPr>
        <w:pStyle w:val="Heading1"/>
      </w:pPr>
      <w:r>
        <w:t>2. TAFFIES 框架</w:t>
      </w:r>
    </w:p>
    <w:p>
      <w:r>
        <w:t>在本节中，我们将TAFFIES作为一个概念框架进行介绍，用以指导和支持AFS的开发。TAFFIES不规定AFS实现应使用哪一组特定的技术。相反，TAFFIES提供了一个结构，用于开发能够为学生生成高质量反馈的AFS。TAFFIES以抽象框架的形式呈现，并以一个具体的案例研究实现作为支撑。TAFFIES包含三个不同的组件：</w:t>
      </w:r>
    </w:p>
    <w:p>
      <w:pPr>
        <w:pStyle w:val="ListNumber"/>
      </w:pPr>
      <w:r>
        <w:t>1. 反馈签名（Feedback Signatures, FSs）</w:t>
      </w:r>
    </w:p>
    <w:p>
      <w:pPr>
        <w:pStyle w:val="ListNumber"/>
      </w:pPr>
      <w:r>
        <w:t>2. 评估标准规格（Assessment Criteria Specification, ACS）</w:t>
      </w:r>
    </w:p>
    <w:p>
      <w:pPr>
        <w:pStyle w:val="ListNumber"/>
      </w:pPr>
      <w:r>
        <w:t>3. 反馈覆盖率检查器（Feedback Coverage Checker, FCC）</w:t>
      </w:r>
    </w:p>
    <w:p>
      <w:r>
        <w:t>每个组件都为AFS的功能结构做出贡献。组件的开发按照迭代开发周期进行[19]，如图1所示。</w:t>
      </w:r>
    </w:p>
    <w:p>
      <w:pPr>
        <w:pStyle w:val="Heading2"/>
      </w:pPr>
      <w:r>
        <w:t>2.1 反馈签名（Feedback Signatures）</w:t>
      </w:r>
    </w:p>
    <w:p>
      <w:r>
        <w:t>反馈签名（FS）是构建基于TAFFIES的AFS的核心概念。FS是TAFFIES的最小分母，由"签名—反馈"配对组成。每个FS都有一个签名组件——这是一个模式，学生的提交将据此进行评估。如果学生的提交与某个FS匹配，那么与该FS相关联的反馈组件将在反馈报告中传达给学生。如果学生的解决方案与某个FS的签名不匹配，则不会产生任何输出。因此，FS是独立的、自包含的操作，可以在任何给定的输入上运行，这使得它们可以在合适的评估之间复用。这一特性也使得FS能够在教育者之间共享，暗示了构建用于开发AFS的共享开放评估资源（OER）的潜力[20]。</w:t>
      </w:r>
    </w:p>
    <w:p>
      <w:r>
        <w:t>除了基于提交直接生成FS之外，AFS还有两个额外的FS来源：（1）复用来自其他AFS（或OER）的FS；以及（2）教育者启发的FS，用于反映预期的缺陷。需要注意的是，这两类FS所产生的潜在反馈，只有在学生提交中匹配了相应的签名之后才会变成实际的反馈。如果学生提交不匹配这些FS签名，那么该FS的反馈就不会被激活。</w:t>
      </w:r>
    </w:p>
    <w:p>
      <w:pPr>
        <w:pStyle w:val="Heading2"/>
      </w:pPr>
      <w:r>
        <w:t>2.2 评估标准规格（ACS）</w:t>
      </w:r>
    </w:p>
    <w:p>
      <w:r>
        <w:t>评估标准规格（ACS）提供了为AFS所开发的作业指定评估标准的机制。ACS使用代码以简单、声明式的方式定义。ACS将一个或多个FS关联到给定的评估标准。ACS可以以细粒度的方式指定——将多个FS分配给单个ACS，以表示构成某个标准的各个组成属性。ACS还提供了一种根据FS激活来分配分数的机制。ACS是特定于某个作业的，通常不会在不同作业之间复用，但其组成FS可以复用。</w:t>
      </w:r>
    </w:p>
    <w:p>
      <w:pPr>
        <w:pStyle w:val="Heading2"/>
      </w:pPr>
      <w:r>
        <w:t>2.3 反馈覆盖率检查器（FCC）</w:t>
      </w:r>
    </w:p>
    <w:p>
      <w:r>
        <w:t>反馈覆盖率检查器（FCC）使AFS开发者能够获取反馈覆盖率度量。基于TAFFIES的AFS开发遵循迭代开发过程[19]。随着解决方案的接收，应开发FS来为解决方案中存在的错误/成功模式提供具体的反馈。FCC在确保所有学生都收到关于其提交的适当且充分的反馈方面发挥着重要作用。FCC生成一份反馈覆盖率报告（FCR），详细说明每个标准下收到一项或多项反馈的学生数量。其他度量指标，如每个学生的平均反馈项目数，也会被报告。FCC能够精确识别出在某个标准上没有收到任何反馈的学生提交。这反过来使开发者能够为特定解决方案定制FS。完成后，重新运行FCC并生成新的FCR。由于单个FS可能适用于多个学生提交，这可以成为快速、高效地为大量解决方案提供详细反馈的有效方式。</w:t>
      </w:r>
    </w:p>
    <w:p>
      <w:pPr>
        <w:pStyle w:val="Heading2"/>
      </w:pPr>
      <w:r>
        <w:t>2.4 示例</w:t>
      </w:r>
    </w:p>
    <w:p>
      <w:r>
        <w:t>在使用Python（或任何其他编程语言）与SQL数据库交互时，使用一种特定格式的查询——称为"预编译语句"（prepared statement），被认为是良好的实践，它可以减少SQL注入攻击的可能性[21]。因此，使用预编译语句被视为良好实践。然而，学生通常使用安全性较低的基于字符串的方法。基于TAFFIES的AFS可以为这类缺陷提供反馈：可以指定一个FS，其中包含识别基于字符串的解决方案的代码签名。该FS的反馈组件将告知学生这种方法是不安全的，应替换为预编译语句。然后将整个FS插入ACS中，并链接到特定的评估标准。随后运行FCC，分析匹配的提交数量。</w:t>
      </w:r>
    </w:p>
    <w:p>
      <w:pPr>
        <w:pStyle w:val="Heading2"/>
      </w:pPr>
      <w:r>
        <w:t>2.5 灵感来源</w:t>
      </w:r>
    </w:p>
    <w:p>
      <w:r>
        <w:t>TAFFIES的许多结构和做法借鉴了现有的软件工程方法论。在运行AFS之前先指定FS的做法，借鉴了测试驱动开发（TDD）的原则[22]：TDD要求开发者在编写实现特定功能的代码之前，先编写该功能单元的测试[23]。然后该测试可用于验证实现是否满足测试中规定的功能需求。然而，在TAFFIES中，TDD被用来识别学生解决方案的正确性并据此提供反馈。因此，学生的解决方案被视为被测试的"单元"。测试覆盖率衡量一组测试所执行的测试量[24]：在TAFFIES的语境中，这与为所有学生解决方案提供的反馈的覆盖率相关。</w:t>
      </w:r>
    </w:p>
    <w:p>
      <w:r>
        <w:t>敏捷迭代开发方法论也是TAFFIES的核心[25]。敏捷方法通常用于软件工程语境中，使公司能够在每次迭代中快速原型化并进行改进[26]。团队可以根据利益相关者的反馈进行快速修正，并迅速集成到下一个迭代周期中。应对学生提交中新解决方案模式时快速适应的能力，正是敏捷方法适合开发AFS的原因。由于很难预测学生在开发解决方案时会犯哪些类型的错误，拥有一个旨在处理新出现知识的发展机制是一个合适的选择。</w:t>
      </w:r>
    </w:p>
    <w:p>
      <w:pPr>
        <w:pStyle w:val="Heading1"/>
      </w:pPr>
      <w:r>
        <w:t>3. 案例研究</w:t>
      </w:r>
    </w:p>
    <w:p>
      <w:r>
        <w:t>在本节中，我们展示了将TAFFIES框架应用于为一门基于编程的评估提供反馈的实践。</w:t>
      </w:r>
    </w:p>
    <w:p>
      <w:pPr>
        <w:pStyle w:val="Heading2"/>
      </w:pPr>
      <w:r>
        <w:t>3.1 背景</w:t>
      </w:r>
    </w:p>
    <w:p>
      <w:r>
        <w:t>宁波诺丁汉大学（UNNC）是中国第一所中外合作高等教育机构，成立于2004年[27]。它是中国持续投入提升高等教育数量与质量的一部分[28]，既是一项创新，也是一个创新中心[29]。诺丁汉大学在所有校区提供相同的学位内容，UNNC是其中之一，马来西亚校区（UNMC）是另一个国际校区。诺丁汉的学位项目获得了相关专业机构的全面认证，包括UNNC的CS项目。在诺丁汉CS项目的第一年，重点放在培养学生的编程技能上。"数据库与接口"（DBI）课程是UNNC所有CS本科生的必修课。DBI为学生提供数据库系统理论与实践的通用入门，学生学习使用结构化查询语言（SQL）创建和与数据库交互[30]。此外，学生学习在基于Web的语境中设计和实现图形用户界面（GUI），使用HTML[31]和CSS[32]等标准Web技术。DBI课程以不同的名称和形式在UNNC运行了超过十年，是CS课程体系中高度成熟的一部分。</w:t>
      </w:r>
    </w:p>
    <w:p>
      <w:r>
        <w:t>在COVID-19大流行之后，DBI教学团队修订并调整了课程以支持混合授课模式，包括大约30名远程学习学生和130名线下学生。在COVID-19之前，DBI严重依赖位于大学校园的集中式技术基础设施。该基础设施为学生提供了Apache Web服务器和MariaDB数据库服务器的访问权限，使DBI学生能够完成每周的实验课任务和课程作业。这一基础设施对在校学生运行良好，提供了可靠且便捷的资源[33]。然而，许多非在校学生，尤其是中国大陆以外的学生，在获取可靠的校园网络连接方面遇到了巨大困难。一些技术限制是无法克服的，这给大学带来了重大的挑战，也让学生感到极大的挫败。课程教师决定在2020–2021学年转向本地技术基础设施，这意味着DBI课程所需的软件将直接在学生的个人计算设备上运行。在此过程中，教师希望能使用免费且轻量级（内存和磁盘占用小）的软件解决方案[34]，因为考虑到部分学生使用的是配置有限的计算设备。</w:t>
      </w:r>
    </w:p>
    <w:p>
      <w:r>
        <w:t>SQLite被用作数据库软件。SQLite是一个小型、快速、自包含、高度可靠、功能齐全的SQL数据库引擎。SQLite对所有主流操作系统免费可用，且下载和安装体积小（&lt;1MB），这对网络连接较差的学生来说是一个重要考量。Apache被Flask替代——一个用Python编写的轻量级Web框架[35]。Flask提供使用存储在SQLite（以及其他数据库）中的数据来提供静态（HTML、CSS）和动态网页的功能[36]。第一周的实验课用于确保学生的机器配置正确，并能够使用这些软件。这个过程相对顺利，很少有学生遇到技术困难。</w:t>
      </w:r>
    </w:p>
    <w:p>
      <w:r>
        <w:t>DBI通过笔试和课程作业两种方式进行评估。课程作业分为两个活动：作业1（CW1）包括评估知识理解的多项选择题测验；作业2（CW2）则聚焦于知识的应用。CW2将是后续章节的重点。对于CW2，学生被呈以一个虚构（但现实）的场景——他们需要完成一个部分实现的库存追踪系统。学生获得了一个部分完成的代码库和一个SQLite数据库，他们的解决方案将在此基础上展开。数据库结构上是完整的，包含了支持应用数据需求所需的一切。然而，数据库中存储的数据条目不完整，这是学生需要解决的问题（见图2）。所有学生都收到了相同的初始（部分实现）代码库，然后他们将扩展以完成课程作业的要求。课程作业涉及学生在DBI课程中已熟悉的标准Web技术（HTML、CSS、SQL和Python）。学生有大约3周时间完成CW2。除了任务描述，学生还被提供了详细的评分方案。学生需要完成CW2的以下三个任务：</w:t>
      </w:r>
    </w:p>
    <w:p>
      <w:pPr>
        <w:pStyle w:val="Heading3"/>
      </w:pPr>
      <w:r>
        <w:t>任务1：数据库初始化</w:t>
      </w:r>
    </w:p>
    <w:p>
      <w:r>
        <w:t>学生被提供了存储在逗号分隔值（CSV）文件中的库存数据。任务1要求学生使用CSV文件中存储的数据填充数据库。这要求学生解析CSV的内容[37]，并指定适当的SQL将数据插入数据库。</w:t>
      </w:r>
    </w:p>
    <w:p>
      <w:pPr>
        <w:pStyle w:val="Heading3"/>
      </w:pPr>
      <w:r>
        <w:t>任务2：从数据库读取</w:t>
      </w:r>
    </w:p>
    <w:p>
      <w:r>
        <w:t>部分实现的代码库具有通过基于Web的用户界面显示库存详情所需的信息。任务2要求学生开发必要的SQL以提取和整理库存项目的详情，用于在Web应用中显示，并与现有代码库集成。</w:t>
      </w:r>
    </w:p>
    <w:p>
      <w:pPr>
        <w:pStyle w:val="Heading3"/>
      </w:pPr>
      <w:r>
        <w:t>任务3：插入数据库</w:t>
      </w:r>
    </w:p>
    <w:p>
      <w:r>
        <w:t>学生需要通过基于Web的表单获取用户输入，并将其作为新项目插入到库存集合中。任务3还要求学生执行必要的验证和用户输入检查。</w:t>
      </w:r>
    </w:p>
    <w:p>
      <w:pPr>
        <w:pStyle w:val="Heading2"/>
      </w:pPr>
      <w:r>
        <w:t>3.2 将TAFFIES应用于开发AFS</w:t>
      </w:r>
    </w:p>
    <w:p>
      <w:r>
        <w:t>DBI CW2的解决方案通过Moodle提交，这是UNNC使用的学习管理系统。解决方案随后被下载并准备评分。按照这种方法，学生不需要知道AFS的存在，这可能会影响他们完成作业的方式[13]。这种方法的好处是保留了任务的原生态环境——学生使用典型的开发环境，而非受限于或被AFS要求的环境。反馈本身通过Moodle上的反馈文件进行传递。</w:t>
      </w:r>
    </w:p>
    <w:p>
      <w:r>
        <w:t>安全性是第一阶段评分的实际关切。所有学生解决方案都在沙盒化的Docker容器中运行——一种轻量级的虚拟化技术，允许代码在一致、隔离的操作系统环境中运行。在Docker中，应用程序对容器文件或设置的更改在容器关闭后即被丢弃。这确保了运行学生解决方案的环境对所有学生一致，同时遵循了运行不受信任代码时的良好安全实践[38]。每个学生解决方案的输出被捕获并存储到磁盘，为下一阶段做好准备，在此阶段将执行实际评估。</w:t>
      </w:r>
    </w:p>
    <w:p>
      <w:r>
        <w:t>完成初始阶段后，课程作业评分者现在可以开始使用基于TAFFIES的方法开发AFS。在此阶段，学生解决方案的输出根据评分标准进行分析。遵循TAFFIES开发过程，评分标准被用代码实现。这种方法与常规方法不同——大多数现有AFS是作为构建评估任务所围绕的框架来使用的。通常，AFS中使用的评分逻辑将与特定课程作业的规格说明同时开发。然而，在这种情况下，AFS是在学生提交解决方案之后开发的，从而提供了生成反馈所依据的解决方案语料。除了提供具体、定制化的反馈外，这种方法还实现了高度的适应性，而这正是许多现有AFS的限制因素[13]。</w:t>
      </w:r>
    </w:p>
    <w:p>
      <w:r>
        <w:t>在评分时，首先指定用于识别正确解决方案的FS。正确的解决方案相对容易评分，因为它们满足可预测的、预先规定的标准：评分者可以检查标准是否在学生解决方案中被正确实现，并据此分配分数。然而，正如编程中常见的，可能存在多个正确解决方案，其中某些可能具有更理想的性质——例如更快的执行速度、更低的内存占用，或更明确地体现了更好的编码实践。因此，除了识别给定解决方案的正确性之外，在适当的情况下，CW2的反馈还根据学生采用的实现方法进行了定制。一旦必要的FS完成，它们就被链接到ACS，并分配相应的分数。</w:t>
      </w:r>
    </w:p>
    <w:p>
      <w:r>
        <w:t>在识别、评分并为正确的解决方案开发了反馈之后，接下来为不正确的解决方案开发FS。FCC用于识别尚未收到反馈的解决方案。然后审查该解决方案，并根据该解决方案的特定弱点/不足之处开发一个（或多个）FS。同时还生成具体的反馈，以突出错误并提供如何尝试修复的建议。当提交展现出正确解决方案所期望的属性时，授予部分分数。然后再次运行FCC，重复此过程，直到FCC报告所有解决方案都已收到至少一条反馈。通常，单个FS可以"匹配"多个提交，从而为所有解决方案提供高效的反馈生成方式。</w:t>
      </w:r>
    </w:p>
    <w:p>
      <w:pPr>
        <w:pStyle w:val="Heading2"/>
      </w:pPr>
      <w:r>
        <w:t>3.3 反思</w:t>
      </w:r>
    </w:p>
    <w:p>
      <w:r>
        <w:t>良好的软件工程实践包括定期进行回顾，反思并从中学习经验[39]。在2020–2021学年引入AFS，缓解了DBI混合授课模式所带来的一些挑战。这使得能够为一门大课及时提供统一、详细的课程作业反馈，并获得了学生的高度认可。开发AFS是一个耗时的过程，大约花费了与手动批改160份学生提交所需相同的时间。一致且正确的评分、详细且定制化的个别反馈，以及一个可复用的教育资源，这些净收益给DBI教师们留下了积极的印象。同样，未来选修DBI课程的学生也将能够从AFS中受益。系统仍需要针对学生需完成的特定任务进行调整，但当前的许多基础设施是可复用的。</w:t>
      </w:r>
    </w:p>
    <w:p>
      <w:r>
        <w:t>DBI CW2的评分已成功完成，反馈管理按时交付。学生收到了一份包含个人反馈和分数的详细报告。与典型的入门级课程作业反馈和评分——通常会引发大量的学生争议和修改请求——形成鲜明对比的是，我们的AFS部署实现了零评分申诉。也没有发现任何评分错误，或存在不一致或不公平的情况。学生对AFS的反馈普遍积极，有评论指出AFS提升了学生的学习动机。</w:t>
      </w:r>
    </w:p>
    <w:p>
      <w:r>
        <w:t>我们认为，我们的AFS解决了一类在评阅大量需要详细技术分析的学生作业时常见错误的类别。具体而言，我们的AFS促进了：</w:t>
      </w:r>
    </w:p>
    <w:p>
      <w:r>
        <w:t>一致性：评分是确定性的——对遵循特定实现策略的所有提交，课程作业的反馈和评分是相同的。这里的一致性既指分数的提供，也指反馈的提供。</w:t>
      </w:r>
    </w:p>
    <w:p>
      <w:r>
        <w:t>正确性：仅仅将评分过程自动化并不能确保输出的正确性。然而，当与此处详述的增量迭代开发方法论相结合时，通常与AFS相关的许多不足之处被成功避免了。</w:t>
      </w:r>
    </w:p>
    <w:p>
      <w:r>
        <w:t>定制化反馈：提供给学生的反馈是具体的、相关的且详细的；而不是仅仅基于通过或不通过来决定。</w:t>
      </w:r>
    </w:p>
    <w:p>
      <w:pPr>
        <w:pStyle w:val="Heading1"/>
      </w:pPr>
      <w:r>
        <w:t>4. 结论</w:t>
      </w:r>
    </w:p>
    <w:p>
      <w:r>
        <w:t>反馈的提供是培养编程初学者编程技能的一个重要但具有挑战性的方面。本文所述的工作概述了一种在AFS规格说明和开发中的新颖方法，并通过案例研究探讨了其有效性。TAFFIES还展示了两种软件工程方法论——敏捷和TDD——在教与学语境中的应用。</w:t>
      </w:r>
    </w:p>
    <w:p>
      <w:r>
        <w:t>我们计划进一步探索TAFFIES在其他类型编程作业中的应用。未来的工作还将寻求确定TAFFIES在编程类作业之外的泛化能力。特别是，我们将探索TAFFIES在数学和CS基础课程中的应用。在数学中，可以生成FS来识别数学证明中的失误。在基础课程中，FS也可用于数据表示和转换错误，例如十进制与二进制之间的转换——这是计算机科学家的一项基本技能。这将作为对所提出框架的重要验证，我们预期该框架将适用于广泛的任务类型和编程语言。</w:t>
      </w:r>
    </w:p>
    <w:p>
      <w:r>
        <w:t>未来的工作还将使用人类专家评审来评估基于TAFFIES的反馈质量。此外，还有机会探索TAFFIES在基于代码的作业之外的应用。鉴于TAFFIES所规定的灵活结构，许多类型的作业都可以得到支持。未来的工作将寻求与其他学科的教育者合作，探索使用TAFFIES支持不同类型作业的可行性。</w:t>
      </w:r>
    </w:p>
    <w:p>
      <w:r>
        <w:t>最后，我们计划将AFS重新打造为开放教育资源（OER），并使其对社区可用，使编程初学者能够独立于课堂或机构来发展他们的编程技能。</w:t>
      </w:r>
    </w:p>
    <w:p>
      <w:pPr>
        <w:pStyle w:val="Heading1"/>
      </w:pPr>
      <w:r>
        <w:t>参考文献</w:t>
      </w:r>
    </w:p>
    <w:p>
      <w:r>
        <w:t>（保留原始英文文献，以便查阅）</w:t>
      </w:r>
    </w:p>
    <w:p>
      <w:pPr>
        <w:spacing w:after="20"/>
      </w:pPr>
      <w:r>
        <w:rPr>
          <w:sz w:val="17"/>
        </w:rPr>
        <w:t>1. Gill A, Irwin D, Towey D, Walker J, Zhang Y. Reacting to the coronavirus: a case study of science and engineering education switching to online learning in a Sino-foreign higher education institution. In: 2020 International conference on open and innovative education (ICOIE 2020), Hong Kong, China; 2020. p. 385–404.</w:t>
      </w:r>
    </w:p>
    <w:p>
      <w:pPr>
        <w:spacing w:after="20"/>
      </w:pPr>
      <w:r>
        <w:rPr>
          <w:sz w:val="17"/>
        </w:rPr>
        <w:t>2. Gill A, Irwin D, Towey D, Walker J, Zhang Y. Reflections post-lockdown: science and engineering education switching to online learning. Int J Mob Learn Organ (N.D.) (to appear)</w:t>
      </w:r>
    </w:p>
    <w:p>
      <w:pPr>
        <w:spacing w:after="20"/>
      </w:pPr>
      <w:r>
        <w:rPr>
          <w:sz w:val="17"/>
        </w:rPr>
        <w:t>3. Wang T, Towey D, Ng RY-K, Gill AS. Towards post-pandemic transformative teaching and learning: case studies of microlearning implementations in two post-secondary educational institutions. SN Comput Sci. 2021;2(4):271.</w:t>
      </w:r>
    </w:p>
    <w:p>
      <w:pPr>
        <w:spacing w:after="20"/>
      </w:pPr>
      <w:r>
        <w:rPr>
          <w:sz w:val="17"/>
        </w:rPr>
        <w:t>4. Jenkins T. On the difficulty of learning to program. In: Proceedings of the 3rd annual conference of the LTSN Centre for information and computer sciences, vol. 4. Loughborough, UK: LTSN-ICS; 2002. p. 53–8.</w:t>
      </w:r>
    </w:p>
    <w:p>
      <w:pPr>
        <w:spacing w:after="20"/>
      </w:pPr>
      <w:r>
        <w:rPr>
          <w:sz w:val="17"/>
        </w:rPr>
        <w:t>5. Tan P-H, Ting C-Y, Ling S-W. Learning difficulties in programming courses: undergraduates' perspective and perception. In: 2009 International conference on computer technology and development. Kota Kinabalu, Malaysia: IEEE; 2009. p. 42–46.</w:t>
      </w:r>
    </w:p>
    <w:p>
      <w:pPr>
        <w:spacing w:after="20"/>
      </w:pPr>
      <w:r>
        <w:rPr>
          <w:sz w:val="17"/>
        </w:rPr>
        <w:t>6. Robins A, Rountree J, Rountree N. Learning and teaching programming: a review and discussion. Comput Sci Educ. 2003;13(2):137–72.</w:t>
      </w:r>
    </w:p>
    <w:p>
      <w:pPr>
        <w:spacing w:after="20"/>
      </w:pPr>
      <w:r>
        <w:rPr>
          <w:sz w:val="17"/>
        </w:rPr>
        <w:t>7. Shute VJ. Focus on formative feedback. Rev Educ Res. 2008;78(1):153–89.</w:t>
      </w:r>
    </w:p>
    <w:p>
      <w:pPr>
        <w:spacing w:after="20"/>
      </w:pPr>
      <w:r>
        <w:rPr>
          <w:sz w:val="17"/>
        </w:rPr>
        <w:t>8. Nicol D, Thomson A, Breslin C. Rethinking feedback practices in higher education: a peer review perspective. Assess Eval High Educ. 2014;39(1):102–22.</w:t>
      </w:r>
    </w:p>
    <w:p>
      <w:pPr>
        <w:spacing w:after="20"/>
      </w:pPr>
      <w:r>
        <w:rPr>
          <w:sz w:val="17"/>
        </w:rPr>
        <w:t>9. Towey D, Zhao K. Developing an automated coding tutorial OER. In: 2017 IEEE 6th international conference on teaching, assessment, and learning for engineering (TALE). Hong Kong, China: IEEE; 2017. p. 233–238.</w:t>
      </w:r>
    </w:p>
    <w:p>
      <w:pPr>
        <w:spacing w:after="20"/>
      </w:pPr>
      <w:r>
        <w:rPr>
          <w:sz w:val="17"/>
        </w:rPr>
        <w:t>10. Singh R, Gulwani S, Solar-Lezama A. Automated feedback generation for introductory programming assignments. In: Proceedings of the 34th ACM SIGPLAN conference on programming language design and implementation. New York, NY, USA: ACM; 2013. p. 15–26.</w:t>
      </w:r>
    </w:p>
    <w:p>
      <w:pPr>
        <w:spacing w:after="20"/>
      </w:pPr>
      <w:r>
        <w:rPr>
          <w:sz w:val="17"/>
        </w:rPr>
        <w:t>11. Odekirk-Hash E, Zachary JL. Automated feedback on programs means students need less help from teachers. In: Proceedings of the thirty-second SIGCSE technical symposium on computer science education. New York, NY, USA: ACM; 2001. p. 55–9.</w:t>
      </w:r>
    </w:p>
    <w:p>
      <w:pPr>
        <w:spacing w:after="20"/>
      </w:pPr>
      <w:r>
        <w:rPr>
          <w:sz w:val="17"/>
        </w:rPr>
        <w:t>12. Ala-Mutka KM. A survey of automated assessment approaches for programming assignments. Comput Sci Educ. 2005;15(2):83–102.</w:t>
      </w:r>
    </w:p>
    <w:p>
      <w:pPr>
        <w:spacing w:after="20"/>
      </w:pPr>
      <w:r>
        <w:rPr>
          <w:sz w:val="17"/>
        </w:rPr>
        <w:t>13. Keuning H, Jeuring J, Heeren B. Towards a systematic review of automated feedback generation for programming exercises. In: Proceedings of the 2016 ACM conference on innovation and technology in computer science education. New York, NY, USA: ACM; 2016. p. 41–46.</w:t>
      </w:r>
    </w:p>
    <w:p>
      <w:pPr>
        <w:spacing w:after="20"/>
      </w:pPr>
      <w:r>
        <w:rPr>
          <w:sz w:val="17"/>
        </w:rPr>
        <w:t>14. Gusukuma L, Bart AC, Kafura D. Pedal: an infrastructure for automated feedback systems. In: Proceedings of the 51st ACM technical symposium on computer science education. New York, NY, USA: ACM; 2020. p. 1061–1067.</w:t>
      </w:r>
    </w:p>
    <w:p>
      <w:pPr>
        <w:spacing w:after="20"/>
      </w:pPr>
      <w:r>
        <w:rPr>
          <w:sz w:val="17"/>
        </w:rPr>
        <w:t>15. Blau H, Moss JEB. Frenchpress gives students automated feedback on Java program flaws. In: Proceedings of the 2015 ACM conference on innovation and technology in computer science education. New York, NY, USA: ACM; 2015. p. 15–20.</w:t>
      </w:r>
    </w:p>
    <w:p>
      <w:pPr>
        <w:spacing w:after="20"/>
      </w:pPr>
      <w:r>
        <w:rPr>
          <w:sz w:val="17"/>
        </w:rPr>
        <w:t>16. Head A, Glassman E, Soares G, Suzuki R, Figueredo L, D'Antoni L, Hartmann B. Writing reusable code feedback at scale with mixed-initiative program synthesis. In: Proceedings of the fourth ACM conference on learning at scale. New York, NY, USA: ACM; 2017. p. 89–98.</w:t>
      </w:r>
    </w:p>
    <w:p>
      <w:pPr>
        <w:spacing w:after="20"/>
      </w:pPr>
      <w:r>
        <w:rPr>
          <w:sz w:val="17"/>
        </w:rPr>
        <w:t>17. Blumenstein M, Green S, Nguyen A, Muthukkumarasamy V. An experimental analysis of game: a generic automated marking environment. ACM SIGCSE Bull. 2004;36(3):67–71.</w:t>
      </w:r>
    </w:p>
    <w:p>
      <w:pPr>
        <w:spacing w:after="20"/>
      </w:pPr>
      <w:r>
        <w:rPr>
          <w:sz w:val="17"/>
        </w:rPr>
        <w:t>18. Adams MD. Aristotle: a flexible open-source software toolkit for semi-automated marking of programming assignments. In: 2017 IEEE Pacific rim conference on communications, computers and signal processing (PACRIM). Victoria, BC, Canada: IEEE; 2017. p. 1–6.</w:t>
      </w:r>
    </w:p>
    <w:p>
      <w:pPr>
        <w:spacing w:after="20"/>
      </w:pPr>
      <w:r>
        <w:rPr>
          <w:sz w:val="17"/>
        </w:rPr>
        <w:t>19. Larman C. Agile and iterative development: a manager's guide. Boston: Addison-Wesley Professional; 2004.</w:t>
      </w:r>
    </w:p>
    <w:p>
      <w:pPr>
        <w:spacing w:after="20"/>
      </w:pPr>
      <w:r>
        <w:rPr>
          <w:sz w:val="17"/>
        </w:rPr>
        <w:t>20. Towey D, Reisman S, Chan H, Demartini C, Tovar E, Margaria T. OER: six perspectives on global misconceptions and challenges. In: 2019 IEEE international conference on engineering, technology and education (TALE). Yogyakarta, Indonesia: IEEE; 2019. p. 889–895.</w:t>
      </w:r>
    </w:p>
    <w:p>
      <w:pPr>
        <w:spacing w:after="20"/>
      </w:pPr>
      <w:r>
        <w:rPr>
          <w:sz w:val="17"/>
        </w:rPr>
        <w:t>21. Thomas S, Williams L, Xie T. On automated prepared statement generation to remove SQL injection vulnerabilities. Inf Softw Technol. 2009;51(3):589–98.</w:t>
      </w:r>
    </w:p>
    <w:p>
      <w:pPr>
        <w:spacing w:after="20"/>
      </w:pPr>
      <w:r>
        <w:rPr>
          <w:sz w:val="17"/>
        </w:rPr>
        <w:t>22. Janzen D, Saiedian H. Test-driven development concepts, taxonomy, and future direction. Computer. 2005;38(9):43–50.</w:t>
      </w:r>
    </w:p>
    <w:p>
      <w:pPr>
        <w:spacing w:after="20"/>
      </w:pPr>
      <w:r>
        <w:rPr>
          <w:sz w:val="17"/>
        </w:rPr>
        <w:t>23. Beck K. Test-driven development: by example. Boston, USA: Addison-Wesley Professional; 2003.</w:t>
      </w:r>
    </w:p>
    <w:p>
      <w:pPr>
        <w:spacing w:after="20"/>
      </w:pPr>
      <w:r>
        <w:rPr>
          <w:sz w:val="17"/>
        </w:rPr>
        <w:t>24. Zhu H, Hall PA, May JH. Software unit test coverage and adequacy. ACM Comput Surv (CSUR). 1997;29(4):366–427.</w:t>
      </w:r>
    </w:p>
    <w:p>
      <w:pPr>
        <w:spacing w:after="20"/>
      </w:pPr>
      <w:r>
        <w:rPr>
          <w:sz w:val="17"/>
        </w:rPr>
        <w:t>25. Boehm B, Turner R. Management challenges to implementing agile processes in traditional development organizations. IEEE Softw. 2005;22(5):30–9.</w:t>
      </w:r>
    </w:p>
    <w:p>
      <w:pPr>
        <w:spacing w:after="20"/>
      </w:pPr>
      <w:r>
        <w:rPr>
          <w:sz w:val="17"/>
        </w:rPr>
        <w:t>26. Beck K, Beedle M, Van Bennekum A, Cockburn A, Cunningham W, Fowler M, Grenning J, Highsmith J, Hunt A, Jeffries R et al. Manifesto for agile software development; 2001.</w:t>
      </w:r>
    </w:p>
    <w:p>
      <w:pPr>
        <w:spacing w:after="20"/>
      </w:pPr>
      <w:r>
        <w:rPr>
          <w:sz w:val="17"/>
        </w:rPr>
        <w:t>27. Feng Y. University of Nottingham Ningbo China and Xi'an Jiaotong-Liverpool University: globalization of higher education in China. High Educ. 2013;65(4):471–85.</w:t>
      </w:r>
    </w:p>
    <w:p>
      <w:pPr>
        <w:spacing w:after="20"/>
      </w:pPr>
      <w:r>
        <w:rPr>
          <w:sz w:val="17"/>
        </w:rPr>
        <w:t>28. Mok KH, Jiang J. Massification of higher education: challenges for admissions and graduate employment in China. In: Managing international connectivity, diversity of learning and changing labour markets. Singapore: Springer; 2017. p. 219–43.</w:t>
      </w:r>
    </w:p>
    <w:p>
      <w:pPr>
        <w:spacing w:after="20"/>
      </w:pPr>
      <w:r>
        <w:rPr>
          <w:sz w:val="17"/>
        </w:rPr>
        <w:t>29. Towey D. Open and flexible learning as an alternative in mainland Chinese higher education. In: Emerging modes and approaches in open and flexible education, pp. 12–26. The Open University of Hong Kong Press, Hong Kong, China; 2014.</w:t>
      </w:r>
    </w:p>
    <w:p>
      <w:pPr>
        <w:spacing w:after="20"/>
      </w:pPr>
      <w:r>
        <w:rPr>
          <w:sz w:val="17"/>
        </w:rPr>
        <w:t>30. Eisenberg A, Melton J. SQL: 1999, formerly known as SQL3. ACM Sigmod Rec. 1999;28(1):131–8.</w:t>
      </w:r>
    </w:p>
    <w:p>
      <w:pPr>
        <w:spacing w:after="20"/>
      </w:pPr>
      <w:r>
        <w:rPr>
          <w:sz w:val="17"/>
        </w:rPr>
        <w:t>31. Hickson I, Hyatt D. HTML5. W3C (2008). http://www.w3.org/html/wg/html5/. Accessed Dec 2021.</w:t>
      </w:r>
    </w:p>
    <w:p>
      <w:pPr>
        <w:spacing w:after="20"/>
      </w:pPr>
      <w:r>
        <w:rPr>
          <w:sz w:val="17"/>
        </w:rPr>
        <w:t>32. W3C: CSS 2.1 Specification. http://www.w3.org/TR/CSS2/. Accessed Dec 2021.</w:t>
      </w:r>
    </w:p>
    <w:p>
      <w:pPr>
        <w:spacing w:after="20"/>
      </w:pPr>
      <w:r>
        <w:rPr>
          <w:sz w:val="17"/>
        </w:rPr>
        <w:t>33. Pike M, Lee B-G, Towey D. The robots will rule: improving coursework marking and feedback through an automated system. In: Proceedings of the 2021 international conference on open and innovative education (ICOIE 2021), Hong Kong, China; 2021. p. 268–77.</w:t>
      </w:r>
    </w:p>
    <w:p>
      <w:pPr>
        <w:spacing w:after="20"/>
      </w:pPr>
      <w:r>
        <w:rPr>
          <w:sz w:val="17"/>
        </w:rPr>
        <w:t>34. Lakhani KR, Von Hippel E. How open source software works: "free" user-to-user assistance. In: Produktentwicklung Mit Virtuellen Communities. Jersey City, USA: Springer; 2004. p. 303–39.</w:t>
      </w:r>
    </w:p>
    <w:p>
      <w:pPr>
        <w:spacing w:after="20"/>
      </w:pPr>
      <w:r>
        <w:rPr>
          <w:sz w:val="17"/>
        </w:rPr>
        <w:t>35. Grinberg M. Flask web development: developing web applications with Python. Newton: O'Reilly Media, Inc.; 2018.</w:t>
      </w:r>
    </w:p>
    <w:p>
      <w:pPr>
        <w:spacing w:after="20"/>
      </w:pPr>
      <w:r>
        <w:rPr>
          <w:sz w:val="17"/>
        </w:rPr>
        <w:t>36. Aslam FA, Mohammed HN, Mohd JM, Gulamgaus MA, Lok P. Efficient way of web development using python and flask. Int J Adv Res Comput Sci. 2015;6(2):54–7.</w:t>
      </w:r>
    </w:p>
    <w:p>
      <w:pPr>
        <w:spacing w:after="20"/>
      </w:pPr>
      <w:r>
        <w:rPr>
          <w:sz w:val="17"/>
        </w:rPr>
        <w:t>37. Shafranovich Y. Common format and MIME type for comma-separated values (CSV) files. RFC 4180, October (2005). https://tools.ietf.org/html/rfc4180. Accessed Dec 2021.</w:t>
      </w:r>
    </w:p>
    <w:p>
      <w:pPr>
        <w:spacing w:after="20"/>
      </w:pPr>
      <w:r>
        <w:rPr>
          <w:sz w:val="17"/>
        </w:rPr>
        <w:t>38. Špaček F, Sohlich R, Dulík T. Docker as platform for assignments evaluation. Procedia Eng. 2015;100:1665–71.</w:t>
      </w:r>
    </w:p>
    <w:p>
      <w:pPr>
        <w:spacing w:after="20"/>
      </w:pPr>
      <w:r>
        <w:rPr>
          <w:sz w:val="17"/>
        </w:rPr>
        <w:t>39. Dybå T, Dingsøyr T, Moe NB. Agile project management. In: Software project management in a changing world, Chap. 11. Jersey City, USA: Springer; 2014. p. 277–300.</w:t>
      </w:r>
    </w:p>
    <w:p>
      <w:pPr>
        <w:pStyle w:val="Heading1"/>
      </w:pPr>
      <w:r>
        <w:t>致谢与声明</w:t>
      </w:r>
    </w:p>
    <w:p>
      <w:r>
        <w:t>本研究部分由国家自然科学基金（资助号61872167）资助。作者也感谢宁波诺丁汉大学科学与工程学院提供的财务支持。作者声明无利益冲突。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