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13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Proponemos construir en COBIS Web, con desarrollo de Red BI, una nueva aplicación de gestión de Middle Office. La aplicación digitaliza el circuito completo de la línea de crédito, desde la minuta de comité hasta su consumo por las operaciones, y reemplaza los pasos manuales de hoy por controles automáticos.</w:t>
      </w:r>
    </w:p>
    <w:p>
      <w:pPr>
        <w:pStyle w:val="Heading2"/>
      </w:pPr>
      <w:r>
        <w:rPr>
          <w:rFonts w:ascii="Calibri" w:cs="Calibri" w:eastAsia="Calibri" w:hAnsi="Calibri"/>
        </w:rPr>
        <w:t xml:space="preserve">Situación actual</w:t>
      </w:r>
    </w:p>
    <w:p>
      <w:pPr>
        <w:spacing w:after="120"/>
        <w:jc w:val="both"/>
      </w:pPr>
      <w:r>
        <w:rPr>
          <w:rFonts w:ascii="Calibri" w:cs="Calibri" w:eastAsia="Calibri" w:hAnsi="Calibri"/>
          <w:sz w:val="21"/>
          <w:szCs w:val="21"/>
        </w:rPr>
        <w:t xml:space="preserve">La aprobación y la carga de una línea de crédito dependen hoy de tareas manuales. La minuta que se presenta en comité se arma a mano. Una vez aprobada, Riesgo de Crédito vuelve a cargar la línea en COBIS Trámites, y esa carga recorre cuatro instancias más de control y aprobación: verificación de la carga, gerente comercial, gerente de Riesgos y CEO. Esas instancias confirman una decisión que el comité ya tomó.</w:t>
      </w:r>
    </w:p>
    <w:p>
      <w:pPr>
        <w:spacing w:after="120"/>
        <w:jc w:val="both"/>
      </w:pPr>
      <w:r>
        <w:rPr>
          <w:rFonts w:ascii="Calibri" w:cs="Calibri" w:eastAsia="Calibri" w:hAnsi="Calibri"/>
          <w:sz w:val="21"/>
          <w:szCs w:val="21"/>
        </w:rPr>
        <w:t xml:space="preserve">Las operaciones que consumen la línea tienen el mismo problema. COBIS no controla por grupo económico, por lo que el límite del 15% de la RPC y el consumo de la línea los verifica a mano un analista de Riesgos. Además, las operaciones no quedan asociadas a su costo de fondeo y no existe una vista única de las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Una aplicación organizada alrededor de la línea de crédito, en tres capas:</w:t>
      </w:r>
    </w:p>
    <w:p>
      <w:pPr>
        <w:pStyle w:val="ListParagraph"/>
        <w:numPr>
          <w:ilvl w:val="0"/>
          <w:numId w:val="2"/>
        </w:numPr>
        <w:spacing w:after="60"/>
      </w:pPr>
      <w:r>
        <w:rPr>
          <w:rFonts w:ascii="Calibri" w:cs="Calibri" w:eastAsia="Calibri" w:hAnsi="Calibri"/>
          <w:b/>
          <w:bCs/>
          <w:sz w:val="21"/>
          <w:szCs w:val="21"/>
        </w:rPr>
        <w:t xml:space="preserve">La minuta en el sistema.</w:t>
      </w:r>
      <w:r>
        <w:rPr>
          <w:rFonts w:ascii="Calibri" w:cs="Calibri" w:eastAsia="Calibri" w:hAnsi="Calibri"/>
          <w:sz w:val="21"/>
          <w:szCs w:val="21"/>
        </w:rPr>
        <w:t xml:space="preserve"> Riesgos carga la minuta, el comité la aprueba en la aplicación y esa única aprobación dispara automáticamente todas las acciones pertinentes: alta o modificación de la línea, pedido de OK de garantías a Activas, alta simplificada del cliente, notificaciones, firma y archivo.</w:t>
      </w:r>
    </w:p>
    <w:p>
      <w:pPr>
        <w:pStyle w:val="ListParagraph"/>
        <w:numPr>
          <w:ilvl w:val="0"/>
          <w:numId w:val="2"/>
        </w:numPr>
        <w:spacing w:after="60"/>
      </w:pPr>
      <w:r>
        <w:rPr>
          <w:rFonts w:ascii="Calibri" w:cs="Calibri" w:eastAsia="Calibri" w:hAnsi="Calibri"/>
          <w:b/>
          <w:bCs/>
          <w:sz w:val="21"/>
          <w:szCs w:val="21"/>
        </w:rPr>
        <w:t xml:space="preserve">La línea como punto de partida.</w:t>
      </w:r>
      <w:r>
        <w:rPr>
          <w:rFonts w:ascii="Calibri" w:cs="Calibri" w:eastAsia="Calibri" w:hAnsi="Calibri"/>
          <w:sz w:val="21"/>
          <w:szCs w:val="21"/>
        </w:rPr>
        <w:t xml:space="preserve"> Una pantalla de líneas reúne todas las líneas con lo aprobado, lo consumido, lo disponible, su estado y sus vencimientos. Desde ella se inicia la carga de toda operación.</w:t>
      </w:r>
    </w:p>
    <w:p>
      <w:pPr>
        <w:pStyle w:val="ListParagraph"/>
        <w:numPr>
          <w:ilvl w:val="0"/>
          <w:numId w:val="2"/>
        </w:numPr>
        <w:spacing w:after="60"/>
      </w:pPr>
      <w:r>
        <w:rPr>
          <w:rFonts w:ascii="Calibri" w:cs="Calibri" w:eastAsia="Calibri" w:hAnsi="Calibri"/>
          <w:b/>
          <w:bCs/>
          <w:sz w:val="21"/>
          <w:szCs w:val="21"/>
        </w:rPr>
        <w:t xml:space="preserve">Operaciones con controles automáticos.</w:t>
      </w:r>
      <w:r>
        <w:rPr>
          <w:rFonts w:ascii="Calibri" w:cs="Calibri" w:eastAsia="Calibri" w:hAnsi="Calibri"/>
          <w:sz w:val="21"/>
          <w:szCs w:val="21"/>
        </w:rPr>
        <w:t xml:space="preserve"> Préstamos, descubiertos, prefinanciaciones, descuento de cheques y renovaciones se cargan de forma guiada. Cada carga o renovación queda asociada al costo de fondeo del plazo máximo otorgado y se valida contra la línea, el 15% de la RPC y la tasa mínima de Mesa.</w:t>
      </w:r>
    </w:p>
    <w:p>
      <w:pPr>
        <w:pStyle w:val="Heading2"/>
      </w:pPr>
      <w:r>
        <w:rPr>
          <w:rFonts w:ascii="Calibri" w:cs="Calibri" w:eastAsia="Calibri" w:hAnsi="Calibri"/>
        </w:rPr>
        <w:t xml:space="preserve">Resultados esperados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870"/>
        <w:gridCol w:w="3268"/>
      </w:tblGrid>
      <w:tr>
        <w:trPr>
          <w:cantSplit/>
          <w:tblHeader/>
        </w:trPr>
        <w:tc>
          <w:tcPr>
            <w:tcW w:type="dxa" w:w="15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Objetivo</w:t>
            </w:r>
          </w:p>
        </w:tc>
        <w:tc>
          <w:tcPr>
            <w:tcW w:type="dxa" w:w="487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Resultado esperado</w:t>
            </w:r>
          </w:p>
        </w:tc>
        <w:tc>
          <w:tcPr>
            <w:tcW w:type="dxa" w:w="3268"/>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Cómo se mide</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Minuta única y digital</w:t>
            </w:r>
          </w:p>
        </w:tc>
        <w:tc>
          <w:tcPr>
            <w:tcW w:type="dxa" w:w="48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minuta se registra, se versiona y se aprueba en COBIS Web</w:t>
            </w:r>
          </w:p>
        </w:tc>
        <w:tc>
          <w:tcPr>
            <w:tcW w:type="dxa" w:w="326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 de minutas aprobadas en el sistema</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Cero doble carga</w:t>
            </w:r>
          </w:p>
        </w:tc>
        <w:tc>
          <w:tcPr>
            <w:tcW w:type="dxa" w:w="487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aprobación de la minuta crea o actualiza la línea sin volver a tipearla</w:t>
            </w:r>
          </w:p>
        </w:tc>
        <w:tc>
          <w:tcPr>
            <w:tcW w:type="dxa" w:w="326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Líneas cargadas manualmente por mes</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Alta de líneas más rápida</w:t>
            </w:r>
          </w:p>
        </w:tc>
        <w:tc>
          <w:tcPr>
            <w:tcW w:type="dxa" w:w="48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línea queda activa al aprobarse; solo los subproductos con garantía esperan el OK de Activas</w:t>
            </w:r>
          </w:p>
        </w:tc>
        <w:tc>
          <w:tcPr>
            <w:tcW w:type="dxa" w:w="326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Horas entre la aprobación del comité y la línea activa</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Controles automáticos</w:t>
            </w:r>
          </w:p>
        </w:tc>
        <w:tc>
          <w:tcPr>
            <w:tcW w:type="dxa" w:w="487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 15% de la RPC y tasa mínima validados en cada operación</w:t>
            </w:r>
          </w:p>
        </w:tc>
        <w:tc>
          <w:tcPr>
            <w:tcW w:type="dxa" w:w="326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Excepciones detectadas por el sistema frente a las manuales</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Precio correcto</w:t>
            </w:r>
          </w:p>
        </w:tc>
        <w:tc>
          <w:tcPr>
            <w:tcW w:type="dxa" w:w="48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Cada operación con su costo de fondeo asociado y ninguna por debajo de la tasa mínima</w:t>
            </w:r>
          </w:p>
        </w:tc>
        <w:tc>
          <w:tcPr>
            <w:tcW w:type="dxa" w:w="326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por debajo de la tasa mínima (meta: 0)</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Trazabilidad</w:t>
            </w:r>
          </w:p>
        </w:tc>
        <w:tc>
          <w:tcPr>
            <w:tcW w:type="dxa" w:w="487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Historial de minutas, versiones, aprobaciones, forzados y cambios de tasa</w:t>
            </w:r>
          </w:p>
        </w:tc>
        <w:tc>
          <w:tcPr>
            <w:tcW w:type="dxa" w:w="326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Consultas de auditoría resueltas desde el sistema</w:t>
            </w:r>
          </w:p>
        </w:tc>
      </w:tr>
    </w:tbl>
    <w:p>
      <w:pPr>
        <w:spacing w:after="120"/>
      </w:pPr>
    </w:p>
    <w:p>
      <w:pPr>
        <w:pStyle w:val="Heading2"/>
      </w:pPr>
      <w:r>
        <w:rPr>
          <w:rFonts w:ascii="Calibri" w:cs="Calibri" w:eastAsia="Calibri" w:hAnsi="Calibri"/>
        </w:rPr>
        <w:t xml:space="preserve">Decisiones que se solicitan</w:t>
      </w:r>
    </w:p>
    <w:p>
      <w:pPr>
        <w:pStyle w:val="ListParagraph"/>
        <w:numPr>
          <w:ilvl w:val="0"/>
          <w:numId w:val="3"/>
        </w:numPr>
        <w:spacing w:after="60"/>
      </w:pPr>
      <w:r>
        <w:rPr>
          <w:rFonts w:ascii="Calibri" w:cs="Calibri" w:eastAsia="Calibri" w:hAnsi="Calibri"/>
          <w:sz w:val="21"/>
          <w:szCs w:val="21"/>
        </w:rPr>
        <w:t xml:space="preserve">Aprobar el alcance de los diez módulos descriptos en este informe.</w:t>
      </w:r>
    </w:p>
    <w:p>
      <w:pPr>
        <w:pStyle w:val="ListParagraph"/>
        <w:numPr>
          <w:ilvl w:val="0"/>
          <w:numId w:val="3"/>
        </w:numPr>
        <w:spacing w:after="60"/>
      </w:pPr>
      <w:r>
        <w:rPr>
          <w:rFonts w:ascii="Calibri" w:cs="Calibri" w:eastAsia="Calibri" w:hAnsi="Calibri"/>
          <w:sz w:val="21"/>
          <w:szCs w:val="21"/>
        </w:rPr>
        <w:t xml:space="preserve">Aprobar la priorización en tres fases (sección 8) como base para pedir la estimación a Red BI.</w:t>
      </w:r>
    </w:p>
    <w:p>
      <w:pPr>
        <w:pStyle w:val="ListParagraph"/>
        <w:numPr>
          <w:ilvl w:val="0"/>
          <w:numId w:val="3"/>
        </w:numPr>
        <w:spacing w:after="60"/>
      </w:pPr>
      <w:r>
        <w:rPr>
          <w:rFonts w:ascii="Calibri" w:cs="Calibri" w:eastAsia="Calibri" w:hAnsi="Calibri"/>
          <w:sz w:val="21"/>
          <w:szCs w:val="21"/>
        </w:rPr>
        <w:t xml:space="preserve">Designar responsables en Riesgos, Middle Office, Mesa y Activas para cerrar los puntos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pasa por dos circuitos manuales sucesivos, de cinco pasos cada uno, antes de quedar disponible para operar. Este diagnóstico surge del relevamiento con Middle Office del 07/10/2026 ("Relevamiento de MiOf") y del resumen elaborado por Jonathan Domínguez.</w:t>
      </w:r>
    </w:p>
    <w:p>
      <w:pPr>
        <w:pStyle w:val="Heading2"/>
      </w:pPr>
      <w:r>
        <w:rPr>
          <w:rFonts w:ascii="Calibri" w:cs="Calibri" w:eastAsia="Calibri" w:hAnsi="Calibri"/>
        </w:rPr>
        <w:t xml:space="preserve">Comités de crédito</w:t>
      </w:r>
    </w:p>
    <w:p>
      <w:pPr>
        <w:spacing w:after="120"/>
        <w:jc w:val="both"/>
      </w:pPr>
      <w:r>
        <w:rPr>
          <w:rFonts w:ascii="Calibri" w:cs="Calibri" w:eastAsia="Calibri" w:hAnsi="Calibri"/>
          <w:sz w:val="21"/>
          <w:szCs w:val="21"/>
        </w:rPr>
        <w:t xml:space="preserve">Las líneas se aprueban por grupo económico. Los grupos económicos están definidos en COBIS MIS. Existen dos instancias de aprobación: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5"/>
        <w:gridCol w:w="3539"/>
        <w:gridCol w:w="4494"/>
      </w:tblGrid>
      <w:tr>
        <w:trPr>
          <w:cantSplit/>
          <w:tblHeader/>
        </w:trPr>
        <w:tc>
          <w:tcPr>
            <w:tcW w:type="dxa" w:w="1605"/>
            <w:shd w:fill="2E7D8C" w:color="auto" w:val="clear"/>
            <w:tcMar>
              <w:top w:type="dxa" w:w="60"/>
              <w:left w:type="dxa" w:w="100"/>
              <w:bottom w:type="dxa" w:w="60"/>
              <w:right w:type="dxa" w:w="100"/>
            </w:tcMar>
          </w:tcPr>
          <w:p>
            <w:pPr>
              <w:spacing w:after="0"/>
            </w:pPr>
          </w:p>
        </w:tc>
        <w:tc>
          <w:tcPr>
            <w:tcW w:type="dxa" w:w="353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Comité de Créditos y Negocios</w:t>
            </w:r>
          </w:p>
        </w:tc>
        <w:tc>
          <w:tcPr>
            <w:tcW w:type="dxa" w:w="449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Subcomité de Créditos y Negocios</w:t>
            </w:r>
          </w:p>
        </w:tc>
      </w:tr>
      <w:tr>
        <w:trPr>
          <w:cantSplit/>
          <w:tblHeader w:val="false"/>
        </w:trPr>
        <w:tc>
          <w:tcPr>
            <w:tcW w:type="dxa" w:w="1605"/>
            <w:tcMar>
              <w:top w:type="dxa" w:w="60"/>
              <w:left w:type="dxa" w:w="100"/>
              <w:bottom w:type="dxa" w:w="60"/>
              <w:right w:type="dxa" w:w="100"/>
            </w:tcMar>
          </w:tcPr>
          <w:p>
            <w:pPr>
              <w:spacing w:after="0"/>
            </w:pPr>
            <w:r>
              <w:rPr>
                <w:rFonts w:ascii="Calibri" w:cs="Calibri" w:eastAsia="Calibri" w:hAnsi="Calibri"/>
                <w:b/>
                <w:bCs/>
                <w:sz w:val="18"/>
                <w:szCs w:val="18"/>
              </w:rPr>
              <w:t xml:space="preserve">Día</w:t>
            </w:r>
          </w:p>
        </w:tc>
        <w:tc>
          <w:tcPr>
            <w:tcW w:type="dxa" w:w="353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Martes</w:t>
            </w:r>
          </w:p>
        </w:tc>
        <w:tc>
          <w:tcPr>
            <w:tcW w:type="dxa" w:w="449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Viernes</w:t>
            </w:r>
          </w:p>
        </w:tc>
      </w:tr>
      <w:tr>
        <w:trPr>
          <w:cantSplit/>
          <w:tblHeader w:val="false"/>
        </w:trPr>
        <w:tc>
          <w:tcPr>
            <w:tcW w:type="dxa" w:w="160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Alcance</w:t>
            </w:r>
          </w:p>
        </w:tc>
        <w:tc>
          <w:tcPr>
            <w:tcW w:type="dxa" w:w="353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Todas las líneas en general</w:t>
            </w:r>
          </w:p>
        </w:tc>
        <w:tc>
          <w:tcPr>
            <w:tcW w:type="dxa" w:w="449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Líneas hasta USD 1.000.000 o líneas corporativas hasta $1.000 millones; solo líneas de ALyC</w:t>
            </w:r>
          </w:p>
        </w:tc>
      </w:tr>
      <w:tr>
        <w:trPr>
          <w:cantSplit/>
          <w:tblHeader w:val="false"/>
        </w:trPr>
        <w:tc>
          <w:tcPr>
            <w:tcW w:type="dxa" w:w="1605"/>
            <w:tcMar>
              <w:top w:type="dxa" w:w="60"/>
              <w:left w:type="dxa" w:w="100"/>
              <w:bottom w:type="dxa" w:w="60"/>
              <w:right w:type="dxa" w:w="100"/>
            </w:tcMar>
          </w:tcPr>
          <w:p>
            <w:pPr>
              <w:spacing w:after="0"/>
            </w:pPr>
            <w:r>
              <w:rPr>
                <w:rFonts w:ascii="Calibri" w:cs="Calibri" w:eastAsia="Calibri" w:hAnsi="Calibri"/>
                <w:b/>
                <w:bCs/>
                <w:sz w:val="18"/>
                <w:szCs w:val="18"/>
              </w:rPr>
              <w:t xml:space="preserve">Integrantes</w:t>
            </w:r>
          </w:p>
        </w:tc>
        <w:tc>
          <w:tcPr>
            <w:tcW w:type="dxa" w:w="353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Presidente del banco, directores (Mariela Riusetch, Norberto Matis), gerente de Riesgos, CEO (Cristian Navarro) y gerente comercial que aplique (Raúl Lynch o Rudecindo Roca)</w:t>
            </w:r>
          </w:p>
        </w:tc>
        <w:tc>
          <w:tcPr>
            <w:tcW w:type="dxa" w:w="449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CEO, gerente de Riesgos, equipo Comercial, equipo de Riesgo de Crédito y gerente comercial que aplique</w:t>
            </w:r>
          </w:p>
        </w:tc>
      </w:tr>
      <w:tr>
        <w:trPr>
          <w:cantSplit/>
          <w:tblHeader w:val="false"/>
        </w:trPr>
        <w:tc>
          <w:tcPr>
            <w:tcW w:type="dxa" w:w="160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Formalización</w:t>
            </w:r>
          </w:p>
        </w:tc>
        <w:tc>
          <w:tcPr>
            <w:tcW w:type="dxa" w:w="353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sesión se graba</w:t>
            </w:r>
          </w:p>
        </w:tc>
        <w:tc>
          <w:tcPr>
            <w:tcW w:type="dxa" w:w="449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gerente de Riesgos envía la minuta y el CEO la firma por DocuSign</w:t>
            </w:r>
          </w:p>
        </w:tc>
      </w:tr>
    </w:tbl>
    <w:p>
      <w:pPr>
        <w:spacing w:after="120"/>
      </w:pP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va con una minuta que hoy arma a mano Abril Vázquez, en Riesgos. Si durante el comité se modifica la propuesta, la minuta se corrige a mano. Su contenido actual es:</w:t>
      </w:r>
    </w:p>
    <w:p>
      <w:pPr>
        <w:pStyle w:val="ListParagraph"/>
        <w:numPr>
          <w:ilvl w:val="0"/>
          <w:numId w:val="3"/>
        </w:numPr>
        <w:spacing w:after="60"/>
      </w:pPr>
      <w:r>
        <w:rPr>
          <w:rFonts w:ascii="Calibri" w:cs="Calibri" w:eastAsia="Calibri" w:hAnsi="Calibri"/>
          <w:sz w:val="21"/>
          <w:szCs w:val="21"/>
        </w:rPr>
        <w:t xml:space="preserve">Línea presente y línea propuesta: el monto vigente y el que se somete a aprobación.</w:t>
      </w:r>
    </w:p>
    <w:p>
      <w:pPr>
        <w:pStyle w:val="ListParagraph"/>
        <w:numPr>
          <w:ilvl w:val="0"/>
          <w:numId w:val="3"/>
        </w:numPr>
        <w:spacing w:after="60"/>
      </w:pPr>
      <w:r>
        <w:rPr>
          <w:rFonts w:ascii="Calibri" w:cs="Calibri" w:eastAsia="Calibri" w:hAnsi="Calibri"/>
          <w:sz w:val="21"/>
          <w:szCs w:val="21"/>
        </w:rPr>
        <w:t xml:space="preserve">Rating crediticio del cliente o grupo.</w:t>
      </w:r>
    </w:p>
    <w:p>
      <w:pPr>
        <w:pStyle w:val="ListParagraph"/>
        <w:numPr>
          <w:ilvl w:val="0"/>
          <w:numId w:val="3"/>
        </w:numPr>
        <w:spacing w:after="60"/>
      </w:pPr>
      <w:r>
        <w:rPr>
          <w:rFonts w:ascii="Calibri" w:cs="Calibri" w:eastAsia="Calibri" w:hAnsi="Calibri"/>
          <w:sz w:val="21"/>
          <w:szCs w:val="21"/>
        </w:rPr>
        <w:t xml:space="preserve">Fecha de revisión de la entidad.</w:t>
      </w:r>
    </w:p>
    <w:p>
      <w:pPr>
        <w:spacing w:after="120"/>
        <w:jc w:val="both"/>
      </w:pPr>
      <w:r>
        <w:rPr>
          <w:rFonts w:ascii="Calibri" w:cs="Calibri" w:eastAsia="Calibri" w:hAnsi="Calibri"/>
          <w:sz w:val="21"/>
          <w:szCs w:val="21"/>
        </w:rPr>
        <w:t xml:space="preserve">Con el nuevo circuito, la minuta suma dos datos obligatorios: el oficial de la cuenta y el CUIT del cliente.</w:t>
      </w:r>
    </w:p>
    <w:p>
      <w:pPr>
        <w:pStyle w:val="Heading2"/>
      </w:pPr>
      <w:r>
        <w:rPr>
          <w:rFonts w:ascii="Calibri" w:cs="Calibri" w:eastAsia="Calibri" w:hAnsi="Calibri"/>
        </w:rPr>
        <w:t xml:space="preserve">Circuito actual de aprobación en comité</w:t>
      </w:r>
    </w:p>
    <w:p>
      <w:pPr>
        <w:pStyle w:val="ListParagraph"/>
        <w:numPr>
          <w:ilvl w:val="0"/>
          <w:numId w:val="4"/>
        </w:numPr>
        <w:spacing w:after="60"/>
      </w:pPr>
      <w:r>
        <w:rPr>
          <w:rFonts w:ascii="Calibri" w:cs="Calibri" w:eastAsia="Calibri" w:hAnsi="Calibri"/>
          <w:b/>
          <w:bCs/>
          <w:sz w:val="21"/>
          <w:szCs w:val="21"/>
        </w:rPr>
        <w:t xml:space="preserve">Minuta:</w:t>
      </w:r>
      <w:r>
        <w:rPr>
          <w:rFonts w:ascii="Calibri" w:cs="Calibri" w:eastAsia="Calibri" w:hAnsi="Calibri"/>
          <w:sz w:val="21"/>
          <w:szCs w:val="21"/>
        </w:rPr>
        <w:t xml:space="preserve"> Riesgos la arma a mano.</w:t>
      </w:r>
    </w:p>
    <w:p>
      <w:pPr>
        <w:pStyle w:val="ListParagraph"/>
        <w:numPr>
          <w:ilvl w:val="0"/>
          <w:numId w:val="4"/>
        </w:numPr>
        <w:spacing w:after="60"/>
      </w:pPr>
      <w:r>
        <w:rPr>
          <w:rFonts w:ascii="Calibri" w:cs="Calibri" w:eastAsia="Calibri" w:hAnsi="Calibri"/>
          <w:b/>
          <w:bCs/>
          <w:sz w:val="21"/>
          <w:szCs w:val="21"/>
        </w:rPr>
        <w:t xml:space="preserve">Comité o subcomité:</w:t>
      </w:r>
      <w:r>
        <w:rPr>
          <w:rFonts w:ascii="Calibri" w:cs="Calibri" w:eastAsia="Calibri" w:hAnsi="Calibri"/>
          <w:sz w:val="21"/>
          <w:szCs w:val="21"/>
        </w:rPr>
        <w:t xml:space="preserve"> se presenta la propuesta, que puede aprobarse, modificarse o rechazarse.</w:t>
      </w:r>
    </w:p>
    <w:p>
      <w:pPr>
        <w:pStyle w:val="ListParagraph"/>
        <w:numPr>
          <w:ilvl w:val="0"/>
          <w:numId w:val="4"/>
        </w:numPr>
        <w:spacing w:after="60"/>
      </w:pPr>
      <w:r>
        <w:rPr>
          <w:rFonts w:ascii="Calibri" w:cs="Calibri" w:eastAsia="Calibri" w:hAnsi="Calibri"/>
          <w:b/>
          <w:bCs/>
          <w:sz w:val="21"/>
          <w:szCs w:val="21"/>
        </w:rPr>
        <w:t xml:space="preserve">Ajuste:</w:t>
      </w:r>
      <w:r>
        <w:rPr>
          <w:rFonts w:ascii="Calibri" w:cs="Calibri" w:eastAsia="Calibri" w:hAnsi="Calibri"/>
          <w:sz w:val="21"/>
          <w:szCs w:val="21"/>
        </w:rPr>
        <w:t xml:space="preserve"> si el comité modifica la propuesta, la minuta se corrige a mano.</w:t>
      </w:r>
    </w:p>
    <w:p>
      <w:pPr>
        <w:pStyle w:val="ListParagraph"/>
        <w:numPr>
          <w:ilvl w:val="0"/>
          <w:numId w:val="4"/>
        </w:numPr>
        <w:spacing w:after="60"/>
      </w:pPr>
      <w:r>
        <w:rPr>
          <w:rFonts w:ascii="Calibri" w:cs="Calibri" w:eastAsia="Calibri" w:hAnsi="Calibri"/>
          <w:b/>
          <w:bCs/>
          <w:sz w:val="21"/>
          <w:szCs w:val="21"/>
        </w:rPr>
        <w:t xml:space="preserve">Formalización:</w:t>
      </w:r>
      <w:r>
        <w:rPr>
          <w:rFonts w:ascii="Calibri" w:cs="Calibri" w:eastAsia="Calibri" w:hAnsi="Calibri"/>
          <w:sz w:val="21"/>
          <w:szCs w:val="21"/>
        </w:rPr>
        <w:t xml:space="preserve"> en el comité, la sesión queda grabada; en el subcomité, el CEO firma la minuta por DocuSign.</w:t>
      </w:r>
    </w:p>
    <w:p>
      <w:pPr>
        <w:pStyle w:val="ListParagraph"/>
        <w:numPr>
          <w:ilvl w:val="0"/>
          <w:numId w:val="4"/>
        </w:numPr>
        <w:spacing w:after="60"/>
      </w:pPr>
      <w:r>
        <w:rPr>
          <w:rFonts w:ascii="Calibri" w:cs="Calibri" w:eastAsia="Calibri" w:hAnsi="Calibri"/>
          <w:b/>
          <w:bCs/>
          <w:sz w:val="21"/>
          <w:szCs w:val="21"/>
        </w:rPr>
        <w:t xml:space="preserve">Envío:</w:t>
      </w:r>
      <w:r>
        <w:rPr>
          <w:rFonts w:ascii="Calibri" w:cs="Calibri" w:eastAsia="Calibri" w:hAnsi="Calibri"/>
          <w:sz w:val="21"/>
          <w:szCs w:val="21"/>
        </w:rPr>
        <w:t xml:space="preserve"> la minuta aprobada queda en Riesgo de Crédito para su carga.</w:t>
      </w:r>
    </w:p>
    <w:p>
      <w:pPr>
        <w:pStyle w:val="Heading2"/>
      </w:pPr>
      <w:r>
        <w:rPr>
          <w:rFonts w:ascii="Calibri" w:cs="Calibri" w:eastAsia="Calibri" w:hAnsi="Calibri"/>
        </w:rPr>
        <w:t xml:space="preserve">Circuito actual de carga de la línea en COBIS Trámites</w:t>
      </w:r>
    </w:p>
    <w:p>
      <w:pPr>
        <w:pStyle w:val="ListParagraph"/>
        <w:numPr>
          <w:ilvl w:val="0"/>
          <w:numId w:val="5"/>
        </w:numPr>
        <w:spacing w:after="60"/>
      </w:pPr>
      <w:r>
        <w:rPr>
          <w:rFonts w:ascii="Calibri" w:cs="Calibri" w:eastAsia="Calibri" w:hAnsi="Calibri"/>
          <w:b/>
          <w:bCs/>
          <w:sz w:val="21"/>
          <w:szCs w:val="21"/>
        </w:rPr>
        <w:t xml:space="preserve">Riesgo de Crédito</w:t>
      </w:r>
      <w:r>
        <w:rPr>
          <w:rFonts w:ascii="Calibri" w:cs="Calibri" w:eastAsia="Calibri" w:hAnsi="Calibri"/>
          <w:sz w:val="21"/>
          <w:szCs w:val="21"/>
        </w:rPr>
        <w:t xml:space="preserve"> carga la línea a mano a partir de la minuta.</w:t>
      </w:r>
    </w:p>
    <w:p>
      <w:pPr>
        <w:pStyle w:val="ListParagraph"/>
        <w:numPr>
          <w:ilvl w:val="0"/>
          <w:numId w:val="5"/>
        </w:numPr>
        <w:spacing w:after="60"/>
      </w:pPr>
      <w:r>
        <w:rPr>
          <w:rFonts w:ascii="Calibri" w:cs="Calibri" w:eastAsia="Calibri" w:hAnsi="Calibri"/>
          <w:b/>
          <w:bCs/>
          <w:sz w:val="21"/>
          <w:szCs w:val="21"/>
        </w:rPr>
        <w:t xml:space="preserve">Control de la carga:</w:t>
      </w:r>
      <w:r>
        <w:rPr>
          <w:rFonts w:ascii="Calibri" w:cs="Calibri" w:eastAsia="Calibri" w:hAnsi="Calibri"/>
          <w:sz w:val="21"/>
          <w:szCs w:val="21"/>
        </w:rPr>
        <w:t xml:space="preserve"> Riesgo de Crédito verifica que la carga coincida con la línea aprobada.</w:t>
      </w:r>
    </w:p>
    <w:p>
      <w:pPr>
        <w:pStyle w:val="ListParagraph"/>
        <w:numPr>
          <w:ilvl w:val="0"/>
          <w:numId w:val="5"/>
        </w:numPr>
        <w:spacing w:after="60"/>
      </w:pPr>
      <w:r>
        <w:rPr>
          <w:rFonts w:ascii="Calibri" w:cs="Calibri" w:eastAsia="Calibri" w:hAnsi="Calibri"/>
          <w:b/>
          <w:bCs/>
          <w:sz w:val="21"/>
          <w:szCs w:val="21"/>
        </w:rPr>
        <w:t xml:space="preserve">Gerente comercial</w:t>
      </w:r>
      <w:r>
        <w:rPr>
          <w:rFonts w:ascii="Calibri" w:cs="Calibri" w:eastAsia="Calibri" w:hAnsi="Calibri"/>
          <w:sz w:val="21"/>
          <w:szCs w:val="21"/>
        </w:rPr>
        <w:t xml:space="preserve"> aprueba (Raúl Lynch o Rudecindo Roca, según el caso).</w:t>
      </w:r>
    </w:p>
    <w:p>
      <w:pPr>
        <w:pStyle w:val="ListParagraph"/>
        <w:numPr>
          <w:ilvl w:val="0"/>
          <w:numId w:val="5"/>
        </w:numPr>
        <w:spacing w:after="60"/>
      </w:pPr>
      <w:r>
        <w:rPr>
          <w:rFonts w:ascii="Calibri" w:cs="Calibri" w:eastAsia="Calibri" w:hAnsi="Calibri"/>
          <w:b/>
          <w:bCs/>
          <w:sz w:val="21"/>
          <w:szCs w:val="21"/>
        </w:rPr>
        <w:t xml:space="preserve">Gerente de Riesgos</w:t>
      </w:r>
      <w:r>
        <w:rPr>
          <w:rFonts w:ascii="Calibri" w:cs="Calibri" w:eastAsia="Calibri" w:hAnsi="Calibri"/>
          <w:sz w:val="21"/>
          <w:szCs w:val="21"/>
        </w:rPr>
        <w:t xml:space="preserve"> aprueba.</w:t>
      </w:r>
    </w:p>
    <w:p>
      <w:pPr>
        <w:pStyle w:val="ListParagraph"/>
        <w:numPr>
          <w:ilvl w:val="0"/>
          <w:numId w:val="5"/>
        </w:numPr>
        <w:spacing w:after="60"/>
      </w:pPr>
      <w:r>
        <w:rPr>
          <w:rFonts w:ascii="Calibri" w:cs="Calibri" w:eastAsia="Calibri" w:hAnsi="Calibri"/>
          <w:b/>
          <w:bCs/>
          <w:sz w:val="21"/>
          <w:szCs w:val="21"/>
        </w:rPr>
        <w:t xml:space="preserve">CEO</w:t>
      </w:r>
      <w:r>
        <w:rPr>
          <w:rFonts w:ascii="Calibri" w:cs="Calibri" w:eastAsia="Calibri" w:hAnsi="Calibri"/>
          <w:sz w:val="21"/>
          <w:szCs w:val="21"/>
        </w:rPr>
        <w:t xml:space="preserve"> da la aprobación final y la línea queda disponible.</w:t>
      </w:r>
    </w:p>
    <w:p>
      <w:pPr>
        <w:spacing w:after="120"/>
        <w:jc w:val="both"/>
      </w:pPr>
      <w:r>
        <w:rPr>
          <w:rFonts w:ascii="Calibri" w:cs="Calibri" w:eastAsia="Calibri" w:hAnsi="Calibri"/>
          <w:sz w:val="21"/>
          <w:szCs w:val="21"/>
        </w:rPr>
        <w:t xml:space="preserve">Del lado de Riesgos, el ruteo de las líneas lo realiza Agustín Sotz.</w:t>
      </w:r>
    </w:p>
    <w:p>
      <w:pPr>
        <w:pStyle w:val="Heading2"/>
      </w:pPr>
      <w:r>
        <w:rPr>
          <w:rFonts w:ascii="Calibri" w:cs="Calibri" w:eastAsia="Calibri" w:hAnsi="Calibri"/>
        </w:rPr>
        <w:t xml:space="preserve">Puntos críticos del circuito actual</w:t>
      </w:r>
    </w:p>
    <w:p>
      <w:pPr>
        <w:pStyle w:val="ListParagraph"/>
        <w:numPr>
          <w:ilvl w:val="0"/>
          <w:numId w:val="3"/>
        </w:numPr>
        <w:spacing w:after="60"/>
      </w:pPr>
      <w:r>
        <w:rPr>
          <w:rFonts w:ascii="Calibri" w:cs="Calibri" w:eastAsia="Calibri" w:hAnsi="Calibri"/>
          <w:b/>
          <w:bCs/>
          <w:sz w:val="21"/>
          <w:szCs w:val="21"/>
        </w:rPr>
        <w:t xml:space="preserve">Doble trabajo:</w:t>
      </w:r>
      <w:r>
        <w:rPr>
          <w:rFonts w:ascii="Calibri" w:cs="Calibri" w:eastAsia="Calibri" w:hAnsi="Calibri"/>
          <w:sz w:val="21"/>
          <w:szCs w:val="21"/>
        </w:rPr>
        <w:t xml:space="preserve"> la información de la línea se escribe dos veces, primero en la minuta y después en COBIS.</w:t>
      </w:r>
    </w:p>
    <w:p>
      <w:pPr>
        <w:pStyle w:val="ListParagraph"/>
        <w:numPr>
          <w:ilvl w:val="0"/>
          <w:numId w:val="3"/>
        </w:numPr>
        <w:spacing w:after="60"/>
      </w:pPr>
      <w:r>
        <w:rPr>
          <w:rFonts w:ascii="Calibri" w:cs="Calibri" w:eastAsia="Calibri" w:hAnsi="Calibri"/>
          <w:b/>
          <w:bCs/>
          <w:sz w:val="21"/>
          <w:szCs w:val="21"/>
        </w:rPr>
        <w:t xml:space="preserve">Doble aprobación:</w:t>
      </w:r>
      <w:r>
        <w:rPr>
          <w:rFonts w:ascii="Calibri" w:cs="Calibri" w:eastAsia="Calibri" w:hAnsi="Calibri"/>
          <w:sz w:val="21"/>
          <w:szCs w:val="21"/>
        </w:rPr>
        <w:t xml:space="preserve"> una línea ya aprobada en comité vuelve a pasar por tres aprobaciones sobre la carga.</w:t>
      </w:r>
    </w:p>
    <w:p>
      <w:pPr>
        <w:pStyle w:val="ListParagraph"/>
        <w:numPr>
          <w:ilvl w:val="0"/>
          <w:numId w:val="3"/>
        </w:numPr>
        <w:spacing w:after="60"/>
      </w:pPr>
      <w:r>
        <w:rPr>
          <w:rFonts w:ascii="Calibri" w:cs="Calibri" w:eastAsia="Calibri" w:hAnsi="Calibri"/>
          <w:b/>
          <w:bCs/>
          <w:sz w:val="21"/>
          <w:szCs w:val="21"/>
        </w:rPr>
        <w:t xml:space="preserve">Garantías fuera del sistema:</w:t>
      </w:r>
      <w:r>
        <w:rPr>
          <w:rFonts w:ascii="Calibri" w:cs="Calibri" w:eastAsia="Calibri" w:hAnsi="Calibri"/>
          <w:sz w:val="21"/>
          <w:szCs w:val="21"/>
        </w:rPr>
        <w:t xml:space="preserve"> si la línea requiere garantía, el OK de Activas y las excepciones se gestionan por fuera.</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se concentran en dos frentes: la aprobación y carga de la línea, y la operatoria que la consume. Cada uno tiene una respuesta concreta en un módulo del proyecto.</w:t>
      </w:r>
    </w:p>
    <w:p>
      <w:pPr>
        <w:pStyle w:val="Heading2"/>
      </w:pPr>
      <w:r>
        <w:rPr>
          <w:rFonts w:ascii="Calibri" w:cs="Calibri" w:eastAsia="Calibri" w:hAnsi="Calibri"/>
        </w:rPr>
        <w:t xml:space="preserve">En la aprobación y carga de líneas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0"/>
        <w:gridCol w:w="3812"/>
        <w:gridCol w:w="3856"/>
      </w:tblGrid>
      <w:tr>
        <w:trPr>
          <w:cantSplit/>
          <w:tblHeader/>
        </w:trPr>
        <w:tc>
          <w:tcPr>
            <w:tcW w:type="dxa" w:w="197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Problema</w:t>
            </w:r>
          </w:p>
        </w:tc>
        <w:tc>
          <w:tcPr>
            <w:tcW w:type="dxa" w:w="381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Impacto</w:t>
            </w:r>
          </w:p>
        </w:tc>
        <w:tc>
          <w:tcPr>
            <w:tcW w:type="dxa" w:w="385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Respuesta del proyecto</w:t>
            </w:r>
          </w:p>
        </w:tc>
      </w:tr>
      <w:tr>
        <w:trPr>
          <w:cantSplit/>
          <w:tblHeader w:val="false"/>
        </w:trPr>
        <w:tc>
          <w:tcPr>
            <w:tcW w:type="dxa" w:w="1970"/>
            <w:tcMar>
              <w:top w:type="dxa" w:w="60"/>
              <w:left w:type="dxa" w:w="100"/>
              <w:bottom w:type="dxa" w:w="60"/>
              <w:right w:type="dxa" w:w="100"/>
            </w:tcMar>
          </w:tcPr>
          <w:p>
            <w:pPr>
              <w:spacing w:after="0"/>
            </w:pPr>
            <w:r>
              <w:rPr>
                <w:rFonts w:ascii="Calibri" w:cs="Calibri" w:eastAsia="Calibri" w:hAnsi="Calibri"/>
                <w:b/>
                <w:bCs/>
                <w:sz w:val="18"/>
                <w:szCs w:val="18"/>
              </w:rPr>
              <w:t xml:space="preserve">Minuta armada a mano, fuera del sistema</w:t>
            </w:r>
          </w:p>
        </w:tc>
        <w:tc>
          <w:tcPr>
            <w:tcW w:type="dxa" w:w="381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Dependencia de una persona; no hay historial de lo propuesto ni de lo aprobado</w:t>
            </w:r>
          </w:p>
        </w:tc>
        <w:tc>
          <w:tcPr>
            <w:tcW w:type="dxa" w:w="38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A: pantalla de minutas con aprobación en el sistema</w:t>
            </w:r>
          </w:p>
        </w:tc>
      </w:tr>
      <w:tr>
        <w:trPr>
          <w:cantSplit/>
          <w:tblHeader w:val="false"/>
        </w:trPr>
        <w:tc>
          <w:tcPr>
            <w:tcW w:type="dxa" w:w="19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Cambios del comité corregidos a mano</w:t>
            </w:r>
          </w:p>
        </w:tc>
        <w:tc>
          <w:tcPr>
            <w:tcW w:type="dxa" w:w="381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 de que la minuta final no refleje lo que se decidió</w:t>
            </w:r>
          </w:p>
        </w:tc>
        <w:tc>
          <w:tcPr>
            <w:tcW w:type="dxa" w:w="38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A: cada cambio queda guardado como una nueva versión</w:t>
            </w:r>
          </w:p>
        </w:tc>
      </w:tr>
      <w:tr>
        <w:trPr>
          <w:cantSplit/>
          <w:tblHeader w:val="false"/>
        </w:trPr>
        <w:tc>
          <w:tcPr>
            <w:tcW w:type="dxa" w:w="1970"/>
            <w:tcMar>
              <w:top w:type="dxa" w:w="60"/>
              <w:left w:type="dxa" w:w="100"/>
              <w:bottom w:type="dxa" w:w="60"/>
              <w:right w:type="dxa" w:w="100"/>
            </w:tcMar>
          </w:tcPr>
          <w:p>
            <w:pPr>
              <w:spacing w:after="0"/>
            </w:pPr>
            <w:r>
              <w:rPr>
                <w:rFonts w:ascii="Calibri" w:cs="Calibri" w:eastAsia="Calibri" w:hAnsi="Calibri"/>
                <w:b/>
                <w:bCs/>
                <w:sz w:val="18"/>
                <w:szCs w:val="18"/>
              </w:rPr>
              <w:t xml:space="preserve">La línea se vuelve a tipear en COBIS</w:t>
            </w:r>
          </w:p>
        </w:tc>
        <w:tc>
          <w:tcPr>
            <w:tcW w:type="dxa" w:w="381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Doble carga y riesgo de error entre lo aprobado y lo cargado</w:t>
            </w:r>
          </w:p>
        </w:tc>
        <w:tc>
          <w:tcPr>
            <w:tcW w:type="dxa" w:w="38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Módulos A y B: la aprobación crea la línea automáticamente</w:t>
            </w:r>
          </w:p>
        </w:tc>
      </w:tr>
      <w:tr>
        <w:trPr>
          <w:cantSplit/>
          <w:tblHeader w:val="false"/>
        </w:trPr>
        <w:tc>
          <w:tcPr>
            <w:tcW w:type="dxa" w:w="19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Cinco pasos secuenciales de carga y aprobación</w:t>
            </w:r>
          </w:p>
        </w:tc>
        <w:tc>
          <w:tcPr>
            <w:tcW w:type="dxa" w:w="381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Demora entre la decisión del comité y la línea disponible</w:t>
            </w:r>
          </w:p>
        </w:tc>
        <w:tc>
          <w:tcPr>
            <w:tcW w:type="dxa" w:w="38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aprobación del comité es la única aprobación; se elimina la re-aprobación de la carga</w:t>
            </w:r>
          </w:p>
        </w:tc>
      </w:tr>
      <w:tr>
        <w:trPr>
          <w:cantSplit/>
          <w:tblHeader w:val="false"/>
        </w:trPr>
        <w:tc>
          <w:tcPr>
            <w:tcW w:type="dxa" w:w="1970"/>
            <w:tcMar>
              <w:top w:type="dxa" w:w="60"/>
              <w:left w:type="dxa" w:w="100"/>
              <w:bottom w:type="dxa" w:w="60"/>
              <w:right w:type="dxa" w:w="100"/>
            </w:tcMar>
          </w:tcPr>
          <w:p>
            <w:pPr>
              <w:spacing w:after="0"/>
            </w:pPr>
            <w:r>
              <w:rPr>
                <w:rFonts w:ascii="Calibri" w:cs="Calibri" w:eastAsia="Calibri" w:hAnsi="Calibri"/>
                <w:b/>
                <w:bCs/>
                <w:sz w:val="18"/>
                <w:szCs w:val="18"/>
              </w:rPr>
              <w:t xml:space="preserve">Garantías sin excepción formal</w:t>
            </w:r>
          </w:p>
        </w:tc>
        <w:tc>
          <w:tcPr>
            <w:tcW w:type="dxa" w:w="381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Líneas completas frenadas por un solo subproducto, o excepciones informales</w:t>
            </w:r>
          </w:p>
        </w:tc>
        <w:tc>
          <w:tcPr>
            <w:tcW w:type="dxa" w:w="38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B: solo quedan pendientes los subproductos con garantía; forzado auditado por gerente de Riesgos o CEO</w:t>
            </w:r>
          </w:p>
        </w:tc>
      </w:tr>
      <w:tr>
        <w:trPr>
          <w:cantSplit/>
          <w:tblHeader w:val="false"/>
        </w:trPr>
        <w:tc>
          <w:tcPr>
            <w:tcW w:type="dxa" w:w="19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Clientes que no están en COBIS MIS</w:t>
            </w:r>
          </w:p>
        </w:tc>
        <w:tc>
          <w:tcPr>
            <w:tcW w:type="dxa" w:w="381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Hay que dar de alta al cliente antes de poder cargar la línea</w:t>
            </w:r>
          </w:p>
        </w:tc>
        <w:tc>
          <w:tcPr>
            <w:tcW w:type="dxa" w:w="38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B: alta simplificada con CUIT, razón social y rating</w:t>
            </w:r>
          </w:p>
        </w:tc>
      </w:tr>
      <w:tr>
        <w:trPr>
          <w:cantSplit/>
          <w:tblHeader w:val="false"/>
        </w:trPr>
        <w:tc>
          <w:tcPr>
            <w:tcW w:type="dxa" w:w="1970"/>
            <w:tcMar>
              <w:top w:type="dxa" w:w="60"/>
              <w:left w:type="dxa" w:w="100"/>
              <w:bottom w:type="dxa" w:w="60"/>
              <w:right w:type="dxa" w:w="100"/>
            </w:tcMar>
          </w:tcPr>
          <w:p>
            <w:pPr>
              <w:spacing w:after="0"/>
            </w:pPr>
            <w:r>
              <w:rPr>
                <w:rFonts w:ascii="Calibri" w:cs="Calibri" w:eastAsia="Calibri" w:hAnsi="Calibri"/>
                <w:b/>
                <w:bCs/>
                <w:sz w:val="18"/>
                <w:szCs w:val="18"/>
              </w:rPr>
              <w:t xml:space="preserve">Líneas en USD sin ajuste por tipo de cambio</w:t>
            </w:r>
          </w:p>
        </w:tc>
        <w:tc>
          <w:tcPr>
            <w:tcW w:type="dxa" w:w="381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valor en pesos de la línea queda desactualizado</w:t>
            </w:r>
          </w:p>
        </w:tc>
        <w:tc>
          <w:tcPr>
            <w:tcW w:type="dxa" w:w="38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C: actualización automática según el tipo de cambio</w:t>
            </w:r>
          </w:p>
        </w:tc>
      </w:tr>
      <w:tr>
        <w:trPr>
          <w:cantSplit/>
          <w:tblHeader w:val="false"/>
        </w:trPr>
        <w:tc>
          <w:tcPr>
            <w:tcW w:type="dxa" w:w="19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No hay una vista única de las líneas</w:t>
            </w:r>
          </w:p>
        </w:tc>
        <w:tc>
          <w:tcPr>
            <w:tcW w:type="dxa" w:w="381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Para saber el consumo, el disponible o el vencimiento hay que buscar en distintos lugares</w:t>
            </w:r>
          </w:p>
        </w:tc>
        <w:tc>
          <w:tcPr>
            <w:tcW w:type="dxa" w:w="38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D: pantalla de líneas con aprobado, consumido, disponible y estado</w:t>
            </w:r>
          </w:p>
        </w:tc>
      </w:tr>
    </w:tbl>
    <w:p>
      <w:pPr>
        <w:spacing w:after="120"/>
      </w:pPr>
    </w:p>
    <w:p>
      <w:pPr>
        <w:pStyle w:val="Heading2"/>
      </w:pPr>
      <w:r>
        <w:rPr>
          <w:rFonts w:ascii="Calibri" w:cs="Calibri" w:eastAsia="Calibri" w:hAnsi="Calibri"/>
        </w:rPr>
        <w:t xml:space="preserve">En la operatoria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000"/>
        <w:gridCol w:w="3373"/>
      </w:tblGrid>
      <w:tr>
        <w:trPr>
          <w:cantSplit/>
          <w:tblHeader/>
        </w:trPr>
        <w:tc>
          <w:tcPr>
            <w:tcW w:type="dxa" w:w="226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Problema</w:t>
            </w:r>
          </w:p>
        </w:tc>
        <w:tc>
          <w:tcPr>
            <w:tcW w:type="dxa" w:w="40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Impacto</w:t>
            </w:r>
          </w:p>
        </w:tc>
        <w:tc>
          <w:tcPr>
            <w:tcW w:type="dxa" w:w="3373"/>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Respuesta del proyecto</w:t>
            </w:r>
          </w:p>
        </w:tc>
      </w:tr>
      <w:tr>
        <w:trPr>
          <w:cantSplit/>
          <w:tblHeader w:val="false"/>
        </w:trPr>
        <w:tc>
          <w:tcPr>
            <w:tcW w:type="dxa" w:w="2265"/>
            <w:tcMar>
              <w:top w:type="dxa" w:w="60"/>
              <w:left w:type="dxa" w:w="100"/>
              <w:bottom w:type="dxa" w:w="60"/>
              <w:right w:type="dxa" w:w="100"/>
            </w:tcMar>
          </w:tcPr>
          <w:p>
            <w:pPr>
              <w:spacing w:after="0"/>
            </w:pPr>
            <w:r>
              <w:rPr>
                <w:rFonts w:ascii="Calibri" w:cs="Calibri" w:eastAsia="Calibri" w:hAnsi="Calibri"/>
                <w:b/>
                <w:bCs/>
                <w:sz w:val="18"/>
                <w:szCs w:val="18"/>
              </w:rPr>
              <w:t xml:space="preserve">Sin control por grupo económico en COBIS</w:t>
            </w:r>
          </w:p>
        </w:tc>
        <w:tc>
          <w:tcPr>
            <w:tcW w:type="dxa" w:w="40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 regulatorio (15% de la RPC) y de exceso de línea; carga operativa en Riesgos</w:t>
            </w:r>
          </w:p>
        </w:tc>
        <w:tc>
          <w:tcPr>
            <w:tcW w:type="dxa" w:w="33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Módulos F, G y H: control automático en cada operación</w:t>
            </w:r>
          </w:p>
        </w:tc>
      </w:tr>
      <w:tr>
        <w:trPr>
          <w:cantSplit/>
          <w:tblHeader w:val="false"/>
        </w:trPr>
        <w:tc>
          <w:tcPr>
            <w:tcW w:type="dxa" w:w="226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Operaciones sin costo de fondeo asociado</w:t>
            </w:r>
          </w:p>
        </w:tc>
        <w:tc>
          <w:tcPr>
            <w:tcW w:type="dxa" w:w="400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se conoce el costo de cada operación al otorgarla</w:t>
            </w:r>
          </w:p>
        </w:tc>
        <w:tc>
          <w:tcPr>
            <w:tcW w:type="dxa" w:w="33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E: costo de fondeo por plazo asociado a cada carga o renovación</w:t>
            </w:r>
          </w:p>
        </w:tc>
      </w:tr>
      <w:tr>
        <w:trPr>
          <w:cantSplit/>
          <w:tblHeader w:val="false"/>
        </w:trPr>
        <w:tc>
          <w:tcPr>
            <w:tcW w:type="dxa" w:w="2265"/>
            <w:tcMar>
              <w:top w:type="dxa" w:w="60"/>
              <w:left w:type="dxa" w:w="100"/>
              <w:bottom w:type="dxa" w:w="60"/>
              <w:right w:type="dxa" w:w="100"/>
            </w:tcMar>
          </w:tcPr>
          <w:p>
            <w:pPr>
              <w:spacing w:after="0"/>
            </w:pPr>
            <w:r>
              <w:rPr>
                <w:rFonts w:ascii="Calibri" w:cs="Calibri" w:eastAsia="Calibri" w:hAnsi="Calibri"/>
                <w:b/>
                <w:bCs/>
                <w:sz w:val="18"/>
                <w:szCs w:val="18"/>
              </w:rPr>
              <w:t xml:space="preserve">Tasas sin validación</w:t>
            </w:r>
          </w:p>
        </w:tc>
        <w:tc>
          <w:tcPr>
            <w:tcW w:type="dxa" w:w="40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 de operar por debajo del costo de dinero</w:t>
            </w:r>
          </w:p>
        </w:tc>
        <w:tc>
          <w:tcPr>
            <w:tcW w:type="dxa" w:w="33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E: tasa mínima de Mesa validada en cada operación</w:t>
            </w:r>
          </w:p>
        </w:tc>
      </w:tr>
      <w:tr>
        <w:trPr>
          <w:cantSplit/>
          <w:tblHeader w:val="false"/>
        </w:trPr>
        <w:tc>
          <w:tcPr>
            <w:tcW w:type="dxa" w:w="226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Descubiertos sin valores por defecto</w:t>
            </w:r>
          </w:p>
        </w:tc>
        <w:tc>
          <w:tcPr>
            <w:tcW w:type="dxa" w:w="400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Errores de carga de vencimiento y monto</w:t>
            </w:r>
          </w:p>
        </w:tc>
        <w:tc>
          <w:tcPr>
            <w:tcW w:type="dxa" w:w="33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F: trae vencimiento y monto desde la línea</w:t>
            </w:r>
          </w:p>
        </w:tc>
      </w:tr>
      <w:tr>
        <w:trPr>
          <w:cantSplit/>
          <w:tblHeader w:val="false"/>
        </w:trPr>
        <w:tc>
          <w:tcPr>
            <w:tcW w:type="dxa" w:w="2265"/>
            <w:tcMar>
              <w:top w:type="dxa" w:w="60"/>
              <w:left w:type="dxa" w:w="100"/>
              <w:bottom w:type="dxa" w:w="60"/>
              <w:right w:type="dxa" w:w="100"/>
            </w:tcMar>
          </w:tcPr>
          <w:p>
            <w:pPr>
              <w:spacing w:after="0"/>
            </w:pPr>
            <w:r>
              <w:rPr>
                <w:rFonts w:ascii="Calibri" w:cs="Calibri" w:eastAsia="Calibri" w:hAnsi="Calibri"/>
                <w:b/>
                <w:bCs/>
                <w:sz w:val="18"/>
                <w:szCs w:val="18"/>
              </w:rPr>
              <w:t xml:space="preserve">Renovaciones sin camino propio</w:t>
            </w:r>
          </w:p>
        </w:tc>
        <w:tc>
          <w:tcPr>
            <w:tcW w:type="dxa" w:w="40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se puede cursar la nueva operación con la anterior vigente</w:t>
            </w:r>
          </w:p>
        </w:tc>
        <w:tc>
          <w:tcPr>
            <w:tcW w:type="dxa" w:w="33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I: renovación desde la pantalla de vencimientos</w:t>
            </w:r>
          </w:p>
        </w:tc>
      </w:tr>
      <w:tr>
        <w:trPr>
          <w:cantSplit/>
          <w:tblHeader w:val="false"/>
        </w:trPr>
        <w:tc>
          <w:tcPr>
            <w:tcW w:type="dxa" w:w="226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Préstamos cargados por código y cuota por cuota</w:t>
            </w:r>
          </w:p>
        </w:tc>
        <w:tc>
          <w:tcPr>
            <w:tcW w:type="dxa" w:w="400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Errores de selección y carga lenta</w:t>
            </w:r>
          </w:p>
        </w:tc>
        <w:tc>
          <w:tcPr>
            <w:tcW w:type="dxa" w:w="33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G: selección por nombre y tablas de amortización automáticas</w:t>
            </w:r>
          </w:p>
        </w:tc>
      </w:tr>
      <w:tr>
        <w:trPr>
          <w:cantSplit/>
          <w:tblHeader w:val="false"/>
        </w:trPr>
        <w:tc>
          <w:tcPr>
            <w:tcW w:type="dxa" w:w="2265"/>
            <w:tcMar>
              <w:top w:type="dxa" w:w="60"/>
              <w:left w:type="dxa" w:w="100"/>
              <w:bottom w:type="dxa" w:w="60"/>
              <w:right w:type="dxa" w:w="100"/>
            </w:tcMar>
          </w:tcPr>
          <w:p>
            <w:pPr>
              <w:spacing w:after="0"/>
            </w:pPr>
            <w:r>
              <w:rPr>
                <w:rFonts w:ascii="Calibri" w:cs="Calibri" w:eastAsia="Calibri" w:hAnsi="Calibri"/>
                <w:b/>
                <w:bCs/>
                <w:sz w:val="18"/>
                <w:szCs w:val="18"/>
              </w:rPr>
              <w:t xml:space="preserve">Cheques revisados uno a uno por Riesgos</w:t>
            </w:r>
          </w:p>
        </w:tc>
        <w:tc>
          <w:tcPr>
            <w:tcW w:type="dxa" w:w="40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Demora y carga operativa</w:t>
            </w:r>
          </w:p>
        </w:tc>
        <w:tc>
          <w:tcPr>
            <w:tcW w:type="dxa" w:w="33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 H: scoring automático; Riesgos solo ve las excepciones</w:t>
            </w:r>
          </w:p>
        </w:tc>
      </w:tr>
      <w:tr>
        <w:trPr>
          <w:cantSplit/>
          <w:tblHeader w:val="false"/>
        </w:trPr>
        <w:tc>
          <w:tcPr>
            <w:tcW w:type="dxa" w:w="226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Sin visibilidad del circuito</w:t>
            </w:r>
          </w:p>
        </w:tc>
        <w:tc>
          <w:tcPr>
            <w:tcW w:type="dxa" w:w="400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pregunta por mail en qué estado está cada acuerdo</w:t>
            </w:r>
          </w:p>
        </w:tc>
        <w:tc>
          <w:tcPr>
            <w:tcW w:type="dxa" w:w="33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Módulos I y J: vencimientos, seguimiento y reportes</w:t>
            </w:r>
          </w:p>
        </w:tc>
      </w:tr>
    </w:tbl>
    <w:p>
      <w:pPr>
        <w:spacing w:after="120"/>
      </w:pP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con la línea dada de alta se pueden cargar operaciones desde la pantalla de líneas, y esas operaciones se validan contra ella. Todo lo que hoy se tramita en COBIS Trámites y Gestión pasa a COBIS Web.</w:t>
      </w:r>
    </w:p>
    <w:p>
      <w:pPr>
        <w:pStyle w:val="Heading2"/>
      </w:pPr>
      <w:r>
        <w:rPr>
          <w:rFonts w:ascii="Calibri" w:cs="Calibri" w:eastAsia="Calibri" w:hAnsi="Calibri"/>
        </w:rPr>
        <w:t xml:space="preserve">Recorrido de punta a punta</w:t>
      </w:r>
    </w:p>
    <w:p>
      <w:pPr>
        <w:pStyle w:val="ListParagraph"/>
        <w:numPr>
          <w:ilvl w:val="0"/>
          <w:numId w:val="6"/>
        </w:numPr>
        <w:spacing w:after="60"/>
      </w:pPr>
      <w:r>
        <w:rPr>
          <w:rFonts w:ascii="Calibri" w:cs="Calibri" w:eastAsia="Calibri" w:hAnsi="Calibri"/>
          <w:b/>
          <w:bCs/>
          <w:sz w:val="21"/>
          <w:szCs w:val="21"/>
        </w:rPr>
        <w:t xml:space="preserve">Minuta:</w:t>
      </w:r>
      <w:r>
        <w:rPr>
          <w:rFonts w:ascii="Calibri" w:cs="Calibri" w:eastAsia="Calibri" w:hAnsi="Calibri"/>
          <w:sz w:val="21"/>
          <w:szCs w:val="21"/>
        </w:rPr>
        <w:t xml:space="preserve"> Riesgos la registra en la pantalla de minutas.</w:t>
      </w:r>
    </w:p>
    <w:p>
      <w:pPr>
        <w:pStyle w:val="ListParagraph"/>
        <w:numPr>
          <w:ilvl w:val="0"/>
          <w:numId w:val="6"/>
        </w:numPr>
        <w:spacing w:after="60"/>
      </w:pPr>
      <w:r>
        <w:rPr>
          <w:rFonts w:ascii="Calibri" w:cs="Calibri" w:eastAsia="Calibri" w:hAnsi="Calibri"/>
          <w:b/>
          <w:bCs/>
          <w:sz w:val="21"/>
          <w:szCs w:val="21"/>
        </w:rPr>
        <w:t xml:space="preserve">Aprobación:</w:t>
      </w:r>
      <w:r>
        <w:rPr>
          <w:rFonts w:ascii="Calibri" w:cs="Calibri" w:eastAsia="Calibri" w:hAnsi="Calibri"/>
          <w:sz w:val="21"/>
          <w:szCs w:val="21"/>
        </w:rPr>
        <w:t xml:space="preserve"> el comité o subcomité la aprueba en el sistema.</w:t>
      </w:r>
    </w:p>
    <w:p>
      <w:pPr>
        <w:pStyle w:val="ListParagraph"/>
        <w:numPr>
          <w:ilvl w:val="0"/>
          <w:numId w:val="6"/>
        </w:numPr>
        <w:spacing w:after="60"/>
      </w:pPr>
      <w:r>
        <w:rPr>
          <w:rFonts w:ascii="Calibri" w:cs="Calibri" w:eastAsia="Calibri" w:hAnsi="Calibri"/>
          <w:b/>
          <w:bCs/>
          <w:sz w:val="21"/>
          <w:szCs w:val="21"/>
        </w:rPr>
        <w:t xml:space="preserve">Acciones automáticas:</w:t>
      </w:r>
      <w:r>
        <w:rPr>
          <w:rFonts w:ascii="Calibri" w:cs="Calibri" w:eastAsia="Calibri" w:hAnsi="Calibri"/>
          <w:sz w:val="21"/>
          <w:szCs w:val="21"/>
        </w:rPr>
        <w:t xml:space="preserve"> alta de la línea, pedido de OK de garantías, alta del cliente, firma y avisos.</w:t>
      </w:r>
    </w:p>
    <w:p>
      <w:pPr>
        <w:pStyle w:val="ListParagraph"/>
        <w:numPr>
          <w:ilvl w:val="0"/>
          <w:numId w:val="6"/>
        </w:numPr>
        <w:spacing w:after="60"/>
      </w:pPr>
      <w:r>
        <w:rPr>
          <w:rFonts w:ascii="Calibri" w:cs="Calibri" w:eastAsia="Calibri" w:hAnsi="Calibri"/>
          <w:b/>
          <w:bCs/>
          <w:sz w:val="21"/>
          <w:szCs w:val="21"/>
        </w:rPr>
        <w:t xml:space="preserve">Línea activa:</w:t>
      </w:r>
      <w:r>
        <w:rPr>
          <w:rFonts w:ascii="Calibri" w:cs="Calibri" w:eastAsia="Calibri" w:hAnsi="Calibri"/>
          <w:sz w:val="21"/>
          <w:szCs w:val="21"/>
        </w:rPr>
        <w:t xml:space="preserve"> disponible en COBIS por grupo económico.</w:t>
      </w:r>
    </w:p>
    <w:p>
      <w:pPr>
        <w:pStyle w:val="ListParagraph"/>
        <w:numPr>
          <w:ilvl w:val="0"/>
          <w:numId w:val="6"/>
        </w:numPr>
        <w:spacing w:after="60"/>
      </w:pPr>
      <w:r>
        <w:rPr>
          <w:rFonts w:ascii="Calibri" w:cs="Calibri" w:eastAsia="Calibri" w:hAnsi="Calibri"/>
          <w:b/>
          <w:bCs/>
          <w:sz w:val="21"/>
          <w:szCs w:val="21"/>
        </w:rPr>
        <w:t xml:space="preserve">Pantalla de líneas:</w:t>
      </w:r>
      <w:r>
        <w:rPr>
          <w:rFonts w:ascii="Calibri" w:cs="Calibri" w:eastAsia="Calibri" w:hAnsi="Calibri"/>
          <w:sz w:val="21"/>
          <w:szCs w:val="21"/>
        </w:rPr>
        <w:t xml:space="preserve"> aprobado, consumido, disponible, estado y vencimientos.</w:t>
      </w:r>
    </w:p>
    <w:p>
      <w:pPr>
        <w:pStyle w:val="ListParagraph"/>
        <w:numPr>
          <w:ilvl w:val="0"/>
          <w:numId w:val="6"/>
        </w:numPr>
        <w:spacing w:after="60"/>
      </w:pPr>
      <w:r>
        <w:rPr>
          <w:rFonts w:ascii="Calibri" w:cs="Calibri" w:eastAsia="Calibri" w:hAnsi="Calibri"/>
          <w:b/>
          <w:bCs/>
          <w:sz w:val="21"/>
          <w:szCs w:val="21"/>
        </w:rPr>
        <w:t xml:space="preserve">Costeo:</w:t>
      </w:r>
      <w:r>
        <w:rPr>
          <w:rFonts w:ascii="Calibri" w:cs="Calibri" w:eastAsia="Calibri" w:hAnsi="Calibri"/>
          <w:sz w:val="21"/>
          <w:szCs w:val="21"/>
        </w:rPr>
        <w:t xml:space="preserve"> Mesa mantiene el costo de fondeo por plazo y las tasas mínimas.</w:t>
      </w:r>
    </w:p>
    <w:p>
      <w:pPr>
        <w:pStyle w:val="ListParagraph"/>
        <w:numPr>
          <w:ilvl w:val="0"/>
          <w:numId w:val="6"/>
        </w:numPr>
        <w:spacing w:after="60"/>
      </w:pPr>
      <w:r>
        <w:rPr>
          <w:rFonts w:ascii="Calibri" w:cs="Calibri" w:eastAsia="Calibri" w:hAnsi="Calibri"/>
          <w:b/>
          <w:bCs/>
          <w:sz w:val="21"/>
          <w:szCs w:val="21"/>
        </w:rPr>
        <w:t xml:space="preserve">Operaciones:</w:t>
      </w:r>
      <w:r>
        <w:rPr>
          <w:rFonts w:ascii="Calibri" w:cs="Calibri" w:eastAsia="Calibri" w:hAnsi="Calibri"/>
          <w:sz w:val="21"/>
          <w:szCs w:val="21"/>
        </w:rPr>
        <w:t xml:space="preserve"> se cargan desde la pantalla de líneas, cada una con su costo de fondeo y sus controles.</w:t>
      </w:r>
    </w:p>
    <w:p>
      <w:pPr>
        <w:pStyle w:val="ListParagraph"/>
        <w:numPr>
          <w:ilvl w:val="0"/>
          <w:numId w:val="6"/>
        </w:numPr>
        <w:spacing w:after="60"/>
      </w:pPr>
      <w:r>
        <w:rPr>
          <w:rFonts w:ascii="Calibri" w:cs="Calibri" w:eastAsia="Calibri" w:hAnsi="Calibri"/>
          <w:b/>
          <w:bCs/>
          <w:sz w:val="21"/>
          <w:szCs w:val="21"/>
        </w:rPr>
        <w:t xml:space="preserve">Vencimientos y seguimiento:</w:t>
      </w:r>
      <w:r>
        <w:rPr>
          <w:rFonts w:ascii="Calibri" w:cs="Calibri" w:eastAsia="Calibri" w:hAnsi="Calibri"/>
          <w:sz w:val="21"/>
          <w:szCs w:val="21"/>
        </w:rPr>
        <w:t xml:space="preserve"> se anticipan los vencimientos, se renuevan los descubiertos y se sigue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construye la línea; la inferior la consume. Ninguna operación puede empezar antes de que la línea esté activa.</w:t>
      </w:r>
    </w:p>
    <w:p>
      <w:pPr>
        <w:pStyle w:val="Heading2"/>
      </w:pPr>
      <w:r>
        <w:rPr>
          <w:rFonts w:ascii="Calibri" w:cs="Calibri" w:eastAsia="Calibri" w:hAnsi="Calibri"/>
        </w:rPr>
        <w:t xml:space="preserve">Módulos del núcleo: la línea de crédito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0"/>
        <w:gridCol w:w="2098"/>
        <w:gridCol w:w="5065"/>
        <w:gridCol w:w="1605"/>
      </w:tblGrid>
      <w:tr>
        <w:trPr>
          <w:cantSplit/>
          <w:tblHeader/>
        </w:trPr>
        <w:tc>
          <w:tcPr>
            <w:tcW w:type="dxa" w:w="87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Módulo</w:t>
            </w:r>
          </w:p>
        </w:tc>
        <w:tc>
          <w:tcPr>
            <w:tcW w:type="dxa" w:w="2098"/>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Nombre</w:t>
            </w:r>
          </w:p>
        </w:tc>
        <w:tc>
          <w:tcPr>
            <w:tcW w:type="dxa" w:w="506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Qué incluye</w:t>
            </w:r>
          </w:p>
        </w:tc>
        <w:tc>
          <w:tcPr>
            <w:tcW w:type="dxa" w:w="160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Origen</w:t>
            </w:r>
          </w:p>
        </w:tc>
      </w:tr>
      <w:tr>
        <w:trPr>
          <w:cantSplit/>
          <w:tblHeader w:val="false"/>
        </w:trPr>
        <w:tc>
          <w:tcPr>
            <w:tcW w:type="dxa" w:w="870"/>
            <w:tcMar>
              <w:top w:type="dxa" w:w="60"/>
              <w:left w:type="dxa" w:w="100"/>
              <w:bottom w:type="dxa" w:w="60"/>
              <w:right w:type="dxa" w:w="100"/>
            </w:tcMar>
          </w:tcPr>
          <w:p>
            <w:pPr>
              <w:spacing w:after="0"/>
            </w:pPr>
            <w:r>
              <w:rPr>
                <w:rFonts w:ascii="Calibri" w:cs="Calibri" w:eastAsia="Calibri" w:hAnsi="Calibri"/>
                <w:b/>
                <w:bCs/>
                <w:sz w:val="18"/>
                <w:szCs w:val="18"/>
              </w:rPr>
              <w:t xml:space="preserve">A</w:t>
            </w:r>
          </w:p>
        </w:tc>
        <w:tc>
          <w:tcPr>
            <w:tcW w:type="dxa" w:w="209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minutas y aprobación</w:t>
            </w:r>
          </w:p>
        </w:tc>
        <w:tc>
          <w:tcPr>
            <w:tcW w:type="dxa" w:w="50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Registro de la minuta, versiones durante el comité, aprobación en el sistema y disparo automático de acciones</w:t>
            </w:r>
          </w:p>
        </w:tc>
        <w:tc>
          <w:tcPr>
            <w:tcW w:type="dxa" w:w="160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Nuevo requerimiento</w:t>
            </w:r>
          </w:p>
        </w:tc>
      </w:tr>
      <w:tr>
        <w:trPr>
          <w:cantSplit/>
          <w:tblHeader w:val="false"/>
        </w:trPr>
        <w:tc>
          <w:tcPr>
            <w:tcW w:type="dxa" w:w="8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B</w:t>
            </w:r>
          </w:p>
        </w:tc>
        <w:tc>
          <w:tcPr>
            <w:tcW w:type="dxa" w:w="209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Alta de líneas</w:t>
            </w:r>
          </w:p>
        </w:tc>
        <w:tc>
          <w:tcPr>
            <w:tcW w:type="dxa" w:w="50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Validación contra COBIS MIS, alta simplificada, gestión de garantías por subproducto y forzado</w:t>
            </w:r>
          </w:p>
        </w:tc>
        <w:tc>
          <w:tcPr>
            <w:tcW w:type="dxa" w:w="160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Relevamiento 07/10</w:t>
            </w:r>
          </w:p>
        </w:tc>
      </w:tr>
      <w:tr>
        <w:trPr>
          <w:cantSplit/>
          <w:tblHeader w:val="false"/>
        </w:trPr>
        <w:tc>
          <w:tcPr>
            <w:tcW w:type="dxa" w:w="870"/>
            <w:tcMar>
              <w:top w:type="dxa" w:w="60"/>
              <w:left w:type="dxa" w:w="100"/>
              <w:bottom w:type="dxa" w:w="60"/>
              <w:right w:type="dxa" w:w="100"/>
            </w:tcMar>
          </w:tcPr>
          <w:p>
            <w:pPr>
              <w:spacing w:after="0"/>
            </w:pPr>
            <w:r>
              <w:rPr>
                <w:rFonts w:ascii="Calibri" w:cs="Calibri" w:eastAsia="Calibri" w:hAnsi="Calibri"/>
                <w:b/>
                <w:bCs/>
                <w:sz w:val="18"/>
                <w:szCs w:val="18"/>
              </w:rPr>
              <w:t xml:space="preserve">C</w:t>
            </w:r>
          </w:p>
        </w:tc>
        <w:tc>
          <w:tcPr>
            <w:tcW w:type="dxa" w:w="209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 en USD ajustable en pesos</w:t>
            </w:r>
          </w:p>
        </w:tc>
        <w:tc>
          <w:tcPr>
            <w:tcW w:type="dxa" w:w="50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Actualización de la línea general según el tipo de cambio</w:t>
            </w:r>
          </w:p>
        </w:tc>
        <w:tc>
          <w:tcPr>
            <w:tcW w:type="dxa" w:w="160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Relevamiento 07/10</w:t>
            </w:r>
          </w:p>
        </w:tc>
      </w:tr>
      <w:tr>
        <w:trPr>
          <w:cantSplit/>
          <w:tblHeader w:val="false"/>
        </w:trPr>
        <w:tc>
          <w:tcPr>
            <w:tcW w:type="dxa" w:w="8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w:t>
            </w:r>
          </w:p>
        </w:tc>
        <w:tc>
          <w:tcPr>
            <w:tcW w:type="dxa" w:w="209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líneas</w:t>
            </w:r>
          </w:p>
        </w:tc>
        <w:tc>
          <w:tcPr>
            <w:tcW w:type="dxa" w:w="50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Vista de todas las líneas y punto de inicio de todas las operaciones</w:t>
            </w:r>
          </w:p>
        </w:tc>
        <w:tc>
          <w:tcPr>
            <w:tcW w:type="dxa" w:w="160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Nuevo requerimiento</w:t>
            </w:r>
          </w:p>
        </w:tc>
      </w:tr>
    </w:tbl>
    <w:p>
      <w:pPr>
        <w:spacing w:after="120"/>
      </w:pPr>
    </w:p>
    <w:p>
      <w:pPr>
        <w:pStyle w:val="Heading2"/>
      </w:pPr>
      <w:r>
        <w:rPr>
          <w:rFonts w:ascii="Calibri" w:cs="Calibri" w:eastAsia="Calibri" w:hAnsi="Calibri"/>
        </w:rPr>
        <w:t xml:space="preserve">Módulos que se apoyan en la línea activa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0"/>
        <w:gridCol w:w="2054"/>
        <w:gridCol w:w="6714"/>
      </w:tblGrid>
      <w:tr>
        <w:trPr>
          <w:cantSplit/>
          <w:tblHeader/>
        </w:trPr>
        <w:tc>
          <w:tcPr>
            <w:tcW w:type="dxa" w:w="87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Módulo</w:t>
            </w:r>
          </w:p>
        </w:tc>
        <w:tc>
          <w:tcPr>
            <w:tcW w:type="dxa" w:w="205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Nombre</w:t>
            </w:r>
          </w:p>
        </w:tc>
        <w:tc>
          <w:tcPr>
            <w:tcW w:type="dxa" w:w="671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Qué incluye</w:t>
            </w:r>
          </w:p>
        </w:tc>
      </w:tr>
      <w:tr>
        <w:trPr>
          <w:cantSplit/>
          <w:tblHeader w:val="false"/>
        </w:trPr>
        <w:tc>
          <w:tcPr>
            <w:tcW w:type="dxa" w:w="870"/>
            <w:tcMar>
              <w:top w:type="dxa" w:w="60"/>
              <w:left w:type="dxa" w:w="100"/>
              <w:bottom w:type="dxa" w:w="60"/>
              <w:right w:type="dxa" w:w="100"/>
            </w:tcMar>
          </w:tcPr>
          <w:p>
            <w:pPr>
              <w:spacing w:after="0"/>
            </w:pPr>
            <w:r>
              <w:rPr>
                <w:rFonts w:ascii="Calibri" w:cs="Calibri" w:eastAsia="Calibri" w:hAnsi="Calibri"/>
                <w:b/>
                <w:bCs/>
                <w:sz w:val="18"/>
                <w:szCs w:val="18"/>
              </w:rPr>
              <w:t xml:space="preserve">E</w:t>
            </w:r>
          </w:p>
        </w:tc>
        <w:tc>
          <w:tcPr>
            <w:tcW w:type="dxa" w:w="20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Costeo de las operaciones</w:t>
            </w:r>
          </w:p>
        </w:tc>
        <w:tc>
          <w:tcPr>
            <w:tcW w:type="dxa" w:w="671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Costo de fondeo por plazo y tasas mínimas de Mesa; cada carga o renovación queda asociada a su costo</w:t>
            </w:r>
          </w:p>
        </w:tc>
      </w:tr>
      <w:tr>
        <w:trPr>
          <w:cantSplit/>
          <w:tblHeader w:val="false"/>
        </w:trPr>
        <w:tc>
          <w:tcPr>
            <w:tcW w:type="dxa" w:w="8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w:t>
            </w:r>
          </w:p>
        </w:tc>
        <w:tc>
          <w:tcPr>
            <w:tcW w:type="dxa" w:w="20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de descubierto</w:t>
            </w:r>
          </w:p>
        </w:tc>
        <w:tc>
          <w:tcPr>
            <w:tcW w:type="dxa" w:w="671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guiada, valores por defecto, tasa mínima, fraccionamiento, full numerales y garantías</w:t>
            </w:r>
          </w:p>
        </w:tc>
      </w:tr>
      <w:tr>
        <w:trPr>
          <w:cantSplit/>
          <w:tblHeader w:val="false"/>
        </w:trPr>
        <w:tc>
          <w:tcPr>
            <w:tcW w:type="dxa" w:w="870"/>
            <w:tcMar>
              <w:top w:type="dxa" w:w="60"/>
              <w:left w:type="dxa" w:w="100"/>
              <w:bottom w:type="dxa" w:w="60"/>
              <w:right w:type="dxa" w:w="100"/>
            </w:tcMar>
          </w:tcPr>
          <w:p>
            <w:pPr>
              <w:spacing w:after="0"/>
            </w:pPr>
            <w:r>
              <w:rPr>
                <w:rFonts w:ascii="Calibri" w:cs="Calibri" w:eastAsia="Calibri" w:hAnsi="Calibri"/>
                <w:b/>
                <w:bCs/>
                <w:sz w:val="18"/>
                <w:szCs w:val="18"/>
              </w:rPr>
              <w:t xml:space="preserve">G</w:t>
            </w:r>
          </w:p>
        </w:tc>
        <w:tc>
          <w:tcPr>
            <w:tcW w:type="dxa" w:w="20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de préstamos</w:t>
            </w:r>
          </w:p>
        </w:tc>
        <w:tc>
          <w:tcPr>
            <w:tcW w:type="dxa" w:w="671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Selección de la operación por nombre y carga automática de tablas de amortización</w:t>
            </w:r>
          </w:p>
        </w:tc>
      </w:tr>
      <w:tr>
        <w:trPr>
          <w:cantSplit/>
          <w:tblHeader w:val="false"/>
        </w:trPr>
        <w:tc>
          <w:tcPr>
            <w:tcW w:type="dxa" w:w="8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H</w:t>
            </w:r>
          </w:p>
        </w:tc>
        <w:tc>
          <w:tcPr>
            <w:tcW w:type="dxa" w:w="20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Descuento de cheques</w:t>
            </w:r>
          </w:p>
        </w:tc>
        <w:tc>
          <w:tcPr>
            <w:tcW w:type="dxa" w:w="671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Cheques endosados, scoring, control de línea, simulación, excepciones por Riesgos, acuerdo marco y desembolso</w:t>
            </w:r>
          </w:p>
        </w:tc>
      </w:tr>
      <w:tr>
        <w:trPr>
          <w:cantSplit/>
          <w:tblHeader w:val="false"/>
        </w:trPr>
        <w:tc>
          <w:tcPr>
            <w:tcW w:type="dxa" w:w="870"/>
            <w:tcMar>
              <w:top w:type="dxa" w:w="60"/>
              <w:left w:type="dxa" w:w="100"/>
              <w:bottom w:type="dxa" w:w="60"/>
              <w:right w:type="dxa" w:w="100"/>
            </w:tcMar>
          </w:tcPr>
          <w:p>
            <w:pPr>
              <w:spacing w:after="0"/>
            </w:pPr>
            <w:r>
              <w:rPr>
                <w:rFonts w:ascii="Calibri" w:cs="Calibri" w:eastAsia="Calibri" w:hAnsi="Calibri"/>
                <w:b/>
                <w:bCs/>
                <w:sz w:val="18"/>
                <w:szCs w:val="18"/>
              </w:rPr>
              <w:t xml:space="preserve">I</w:t>
            </w:r>
          </w:p>
        </w:tc>
        <w:tc>
          <w:tcPr>
            <w:tcW w:type="dxa" w:w="20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Vencimientos</w:t>
            </w:r>
          </w:p>
        </w:tc>
        <w:tc>
          <w:tcPr>
            <w:tcW w:type="dxa" w:w="671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Vencimientos de las operaciones, renovación de descubiertos y recibos de operaciones cobradas</w:t>
            </w:r>
          </w:p>
        </w:tc>
      </w:tr>
      <w:tr>
        <w:trPr>
          <w:cantSplit/>
          <w:tblHeader w:val="false"/>
        </w:trPr>
        <w:tc>
          <w:tcPr>
            <w:tcW w:type="dxa" w:w="87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J</w:t>
            </w:r>
          </w:p>
        </w:tc>
        <w:tc>
          <w:tcPr>
            <w:tcW w:type="dxa" w:w="20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Seguimiento y reportes</w:t>
            </w:r>
          </w:p>
        </w:tc>
        <w:tc>
          <w:tcPr>
            <w:tcW w:type="dxa" w:w="671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Acuerdos ruteados por día y estado, filtros, exportación y reportes</w:t>
            </w:r>
          </w:p>
        </w:tc>
      </w:tr>
    </w:tbl>
    <w:p>
      <w:pPr>
        <w:spacing w:after="120"/>
      </w:pP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b/>
          <w:bCs/>
          <w:sz w:val="21"/>
          <w:szCs w:val="21"/>
        </w:rPr>
        <w:t xml:space="preserve">Datos de la minuta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2"/>
        <w:gridCol w:w="5354"/>
        <w:gridCol w:w="1642"/>
      </w:tblGrid>
      <w:tr>
        <w:trPr>
          <w:cantSplit/>
          <w:tblHeader/>
        </w:trPr>
        <w:tc>
          <w:tcPr>
            <w:tcW w:type="dxa" w:w="264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Dato</w:t>
            </w:r>
          </w:p>
        </w:tc>
        <w:tc>
          <w:tcPr>
            <w:tcW w:type="dxa" w:w="535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Detalle</w:t>
            </w:r>
          </w:p>
        </w:tc>
        <w:tc>
          <w:tcPr>
            <w:tcW w:type="dxa" w:w="164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Origen</w:t>
            </w:r>
          </w:p>
        </w:tc>
      </w:tr>
      <w:tr>
        <w:trPr>
          <w:cantSplit/>
          <w:tblHeader w:val="false"/>
        </w:trPr>
        <w:tc>
          <w:tcPr>
            <w:tcW w:type="dxa" w:w="2642"/>
            <w:tcMar>
              <w:top w:type="dxa" w:w="60"/>
              <w:left w:type="dxa" w:w="100"/>
              <w:bottom w:type="dxa" w:w="60"/>
              <w:right w:type="dxa" w:w="100"/>
            </w:tcMar>
          </w:tcPr>
          <w:p>
            <w:pPr>
              <w:spacing w:after="0"/>
            </w:pPr>
            <w:r>
              <w:rPr>
                <w:rFonts w:ascii="Calibri" w:cs="Calibri" w:eastAsia="Calibri" w:hAnsi="Calibri"/>
                <w:b/>
                <w:bCs/>
                <w:sz w:val="18"/>
                <w:szCs w:val="18"/>
              </w:rPr>
              <w:t xml:space="preserve">CUIT y razón social</w:t>
            </w:r>
          </w:p>
        </w:tc>
        <w:tc>
          <w:tcPr>
            <w:tcW w:type="dxa" w:w="53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Identifica al cliente; con el CUIT se busca el grupo económico en COBIS MIS</w:t>
            </w:r>
          </w:p>
        </w:tc>
        <w:tc>
          <w:tcPr>
            <w:tcW w:type="dxa" w:w="164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Obligatorio</w:t>
            </w:r>
          </w:p>
        </w:tc>
      </w:tr>
      <w:tr>
        <w:trPr>
          <w:cantSplit/>
          <w:tblHeader w:val="false"/>
        </w:trPr>
        <w:tc>
          <w:tcPr>
            <w:tcW w:type="dxa" w:w="2642"/>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Grupo económico</w:t>
            </w:r>
          </w:p>
        </w:tc>
        <w:tc>
          <w:tcPr>
            <w:tcW w:type="dxa" w:w="53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completa desde COBIS MIS; si no existe, se marca para alta simplificada</w:t>
            </w:r>
          </w:p>
        </w:tc>
        <w:tc>
          <w:tcPr>
            <w:tcW w:type="dxa" w:w="164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Automático</w:t>
            </w:r>
          </w:p>
        </w:tc>
      </w:tr>
      <w:tr>
        <w:trPr>
          <w:cantSplit/>
          <w:tblHeader w:val="false"/>
        </w:trPr>
        <w:tc>
          <w:tcPr>
            <w:tcW w:type="dxa" w:w="2642"/>
            <w:tcMar>
              <w:top w:type="dxa" w:w="60"/>
              <w:left w:type="dxa" w:w="100"/>
              <w:bottom w:type="dxa" w:w="60"/>
              <w:right w:type="dxa" w:w="100"/>
            </w:tcMar>
          </w:tcPr>
          <w:p>
            <w:pPr>
              <w:spacing w:after="0"/>
            </w:pPr>
            <w:r>
              <w:rPr>
                <w:rFonts w:ascii="Calibri" w:cs="Calibri" w:eastAsia="Calibri" w:hAnsi="Calibri"/>
                <w:b/>
                <w:bCs/>
                <w:sz w:val="18"/>
                <w:szCs w:val="18"/>
              </w:rPr>
              <w:t xml:space="preserve">Oficial</w:t>
            </w:r>
          </w:p>
        </w:tc>
        <w:tc>
          <w:tcPr>
            <w:tcW w:type="dxa" w:w="53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Define qué gerente comercial aprueba (Raúl Lynch o Rudecindo Roca)</w:t>
            </w:r>
          </w:p>
        </w:tc>
        <w:tc>
          <w:tcPr>
            <w:tcW w:type="dxa" w:w="164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Obligatorio</w:t>
            </w:r>
          </w:p>
        </w:tc>
      </w:tr>
      <w:tr>
        <w:trPr>
          <w:cantSplit/>
          <w:tblHeader w:val="false"/>
        </w:trPr>
        <w:tc>
          <w:tcPr>
            <w:tcW w:type="dxa" w:w="2642"/>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Línea presente</w:t>
            </w:r>
          </w:p>
        </w:tc>
        <w:tc>
          <w:tcPr>
            <w:tcW w:type="dxa" w:w="53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trae de COBIS si el cliente ya tiene línea</w:t>
            </w:r>
          </w:p>
        </w:tc>
        <w:tc>
          <w:tcPr>
            <w:tcW w:type="dxa" w:w="164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Automático</w:t>
            </w:r>
          </w:p>
        </w:tc>
      </w:tr>
      <w:tr>
        <w:trPr>
          <w:cantSplit/>
          <w:tblHeader w:val="false"/>
        </w:trPr>
        <w:tc>
          <w:tcPr>
            <w:tcW w:type="dxa" w:w="2642"/>
            <w:tcMar>
              <w:top w:type="dxa" w:w="60"/>
              <w:left w:type="dxa" w:w="100"/>
              <w:bottom w:type="dxa" w:w="60"/>
              <w:right w:type="dxa" w:w="100"/>
            </w:tcMar>
          </w:tcPr>
          <w:p>
            <w:pPr>
              <w:spacing w:after="0"/>
            </w:pPr>
            <w:r>
              <w:rPr>
                <w:rFonts w:ascii="Calibri" w:cs="Calibri" w:eastAsia="Calibri" w:hAnsi="Calibri"/>
                <w:b/>
                <w:bCs/>
                <w:sz w:val="18"/>
                <w:szCs w:val="18"/>
              </w:rPr>
              <w:t xml:space="preserve">Línea propuesta</w:t>
            </w:r>
          </w:p>
        </w:tc>
        <w:tc>
          <w:tcPr>
            <w:tcW w:type="dxa" w:w="53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Monto, moneda, subproductos y si es USD ajustable en pesos</w:t>
            </w:r>
          </w:p>
        </w:tc>
        <w:tc>
          <w:tcPr>
            <w:tcW w:type="dxa" w:w="164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de Riesgos</w:t>
            </w:r>
          </w:p>
        </w:tc>
      </w:tr>
      <w:tr>
        <w:trPr>
          <w:cantSplit/>
          <w:tblHeader w:val="false"/>
        </w:trPr>
        <w:tc>
          <w:tcPr>
            <w:tcW w:type="dxa" w:w="2642"/>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Rating crediticio y fecha de revisión</w:t>
            </w:r>
          </w:p>
        </w:tc>
        <w:tc>
          <w:tcPr>
            <w:tcW w:type="dxa" w:w="53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Datos actuales de la minuta</w:t>
            </w:r>
          </w:p>
        </w:tc>
        <w:tc>
          <w:tcPr>
            <w:tcW w:type="dxa" w:w="164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de Riesgos</w:t>
            </w:r>
          </w:p>
        </w:tc>
      </w:tr>
      <w:tr>
        <w:trPr>
          <w:cantSplit/>
          <w:tblHeader w:val="false"/>
        </w:trPr>
        <w:tc>
          <w:tcPr>
            <w:tcW w:type="dxa" w:w="2642"/>
            <w:tcMar>
              <w:top w:type="dxa" w:w="60"/>
              <w:left w:type="dxa" w:w="100"/>
              <w:bottom w:type="dxa" w:w="60"/>
              <w:right w:type="dxa" w:w="100"/>
            </w:tcMar>
          </w:tcPr>
          <w:p>
            <w:pPr>
              <w:spacing w:after="0"/>
            </w:pPr>
            <w:r>
              <w:rPr>
                <w:rFonts w:ascii="Calibri" w:cs="Calibri" w:eastAsia="Calibri" w:hAnsi="Calibri"/>
                <w:b/>
                <w:bCs/>
                <w:sz w:val="18"/>
                <w:szCs w:val="18"/>
              </w:rPr>
              <w:t xml:space="preserve">Garantías</w:t>
            </w:r>
          </w:p>
        </w:tc>
        <w:tc>
          <w:tcPr>
            <w:tcW w:type="dxa" w:w="535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Qué subproductos requieren garantía y de qué tipo</w:t>
            </w:r>
          </w:p>
        </w:tc>
        <w:tc>
          <w:tcPr>
            <w:tcW w:type="dxa" w:w="164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de Riesgos</w:t>
            </w:r>
          </w:p>
        </w:tc>
      </w:tr>
      <w:tr>
        <w:trPr>
          <w:cantSplit/>
          <w:tblHeader w:val="false"/>
        </w:trPr>
        <w:tc>
          <w:tcPr>
            <w:tcW w:type="dxa" w:w="2642"/>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Instancia</w:t>
            </w:r>
          </w:p>
        </w:tc>
        <w:tc>
          <w:tcPr>
            <w:tcW w:type="dxa" w:w="535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Comité (martes) o subcomité (viernes), sugerida según monto y tipo de línea</w:t>
            </w:r>
          </w:p>
        </w:tc>
        <w:tc>
          <w:tcPr>
            <w:tcW w:type="dxa" w:w="164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Sugerido por el sistema</w:t>
            </w:r>
          </w:p>
        </w:tc>
      </w:tr>
    </w:tbl>
    <w:p>
      <w:pPr>
        <w:spacing w:after="120"/>
      </w:pPr>
    </w:p>
    <w:p>
      <w:pPr>
        <w:spacing w:after="120"/>
        <w:jc w:val="both"/>
      </w:pPr>
      <w:r>
        <w:rPr>
          <w:rFonts w:ascii="Calibri" w:cs="Calibri" w:eastAsia="Calibri" w:hAnsi="Calibri"/>
          <w:b/>
          <w:bCs/>
          <w:sz w:val="21"/>
          <w:szCs w:val="21"/>
        </w:rPr>
        <w:t xml:space="preserve">Ciclo de vida de la minuta</w:t>
      </w:r>
    </w:p>
    <w:p>
      <w:pPr>
        <w:pStyle w:val="ListParagraph"/>
        <w:numPr>
          <w:ilvl w:val="0"/>
          <w:numId w:val="7"/>
        </w:numPr>
        <w:spacing w:after="60"/>
      </w:pPr>
      <w:r>
        <w:rPr>
          <w:rFonts w:ascii="Calibri" w:cs="Calibri" w:eastAsia="Calibri" w:hAnsi="Calibri"/>
          <w:b/>
          <w:bCs/>
          <w:sz w:val="21"/>
          <w:szCs w:val="21"/>
        </w:rPr>
        <w:t xml:space="preserve">Borrador:</w:t>
      </w:r>
      <w:r>
        <w:rPr>
          <w:rFonts w:ascii="Calibri" w:cs="Calibri" w:eastAsia="Calibri" w:hAnsi="Calibri"/>
          <w:sz w:val="21"/>
          <w:szCs w:val="21"/>
        </w:rPr>
        <w:t xml:space="preserve"> lo carga Riesgos y se puede editar libremente.</w:t>
      </w:r>
    </w:p>
    <w:p>
      <w:pPr>
        <w:pStyle w:val="ListParagraph"/>
        <w:numPr>
          <w:ilvl w:val="0"/>
          <w:numId w:val="7"/>
        </w:numPr>
        <w:spacing w:after="60"/>
      </w:pPr>
      <w:r>
        <w:rPr>
          <w:rFonts w:ascii="Calibri" w:cs="Calibri" w:eastAsia="Calibri" w:hAnsi="Calibri"/>
          <w:b/>
          <w:bCs/>
          <w:sz w:val="21"/>
          <w:szCs w:val="21"/>
        </w:rPr>
        <w:t xml:space="preserve">En comité:</w:t>
      </w:r>
      <w:r>
        <w:rPr>
          <w:rFonts w:ascii="Calibri" w:cs="Calibri" w:eastAsia="Calibri" w:hAnsi="Calibri"/>
          <w:sz w:val="21"/>
          <w:szCs w:val="21"/>
        </w:rPr>
        <w:t xml:space="preserve"> se presenta; los cambios se guardan como nueva versión.</w:t>
      </w:r>
    </w:p>
    <w:p>
      <w:pPr>
        <w:pStyle w:val="ListParagraph"/>
        <w:numPr>
          <w:ilvl w:val="0"/>
          <w:numId w:val="7"/>
        </w:numPr>
        <w:spacing w:after="60"/>
      </w:pPr>
      <w:r>
        <w:rPr>
          <w:rFonts w:ascii="Calibri" w:cs="Calibri" w:eastAsia="Calibri" w:hAnsi="Calibri"/>
          <w:b/>
          <w:bCs/>
          <w:sz w:val="21"/>
          <w:szCs w:val="21"/>
        </w:rPr>
        <w:t xml:space="preserve">Aprobada o modificada:</w:t>
      </w:r>
      <w:r>
        <w:rPr>
          <w:rFonts w:ascii="Calibri" w:cs="Calibri" w:eastAsia="Calibri" w:hAnsi="Calibri"/>
          <w:sz w:val="21"/>
          <w:szCs w:val="21"/>
        </w:rPr>
        <w:t xml:space="preserve"> se registra la decisión y quién aprobó.</w:t>
      </w:r>
    </w:p>
    <w:p>
      <w:pPr>
        <w:pStyle w:val="ListParagraph"/>
        <w:numPr>
          <w:ilvl w:val="0"/>
          <w:numId w:val="7"/>
        </w:numPr>
        <w:spacing w:after="60"/>
      </w:pPr>
      <w:r>
        <w:rPr>
          <w:rFonts w:ascii="Calibri" w:cs="Calibri" w:eastAsia="Calibri" w:hAnsi="Calibri"/>
          <w:b/>
          <w:bCs/>
          <w:sz w:val="21"/>
          <w:szCs w:val="21"/>
        </w:rPr>
        <w:t xml:space="preserve">Rechazada:</w:t>
      </w:r>
      <w:r>
        <w:rPr>
          <w:rFonts w:ascii="Calibri" w:cs="Calibri" w:eastAsia="Calibri" w:hAnsi="Calibri"/>
          <w:sz w:val="21"/>
          <w:szCs w:val="21"/>
        </w:rPr>
        <w:t xml:space="preserve"> queda en el historial con el motivo.</w:t>
      </w:r>
    </w:p>
    <w:p>
      <w:pPr>
        <w:pStyle w:val="ListParagraph"/>
        <w:numPr>
          <w:ilvl w:val="0"/>
          <w:numId w:val="7"/>
        </w:numPr>
        <w:spacing w:after="60"/>
      </w:pPr>
      <w:r>
        <w:rPr>
          <w:rFonts w:ascii="Calibri" w:cs="Calibri" w:eastAsia="Calibri" w:hAnsi="Calibri"/>
          <w:b/>
          <w:bCs/>
          <w:sz w:val="21"/>
          <w:szCs w:val="21"/>
        </w:rPr>
        <w:t xml:space="preserve">Ejecutada:</w:t>
      </w:r>
      <w:r>
        <w:rPr>
          <w:rFonts w:ascii="Calibri" w:cs="Calibri" w:eastAsia="Calibri" w:hAnsi="Calibri"/>
          <w:sz w:val="21"/>
          <w:szCs w:val="21"/>
        </w:rPr>
        <w:t xml:space="preserve"> se completaron las acciones automáticas.</w:t>
      </w:r>
    </w:p>
    <w:p>
      <w:pPr>
        <w:spacing w:after="120"/>
        <w:jc w:val="both"/>
      </w:pPr>
      <w:r>
        <w:rPr>
          <w:rFonts w:ascii="Calibri" w:cs="Calibri" w:eastAsia="Calibri" w:hAnsi="Calibri"/>
          <w:sz w:val="21"/>
          <w:szCs w:val="21"/>
        </w:rPr>
        <w:t xml:space="preserve">Cada versión queda guardada: se puede ver qué se propuso, qué se modificó en el comité y qué se aprobó finalmente.</w:t>
      </w:r>
    </w:p>
    <w:p>
      <w:pPr>
        <w:spacing w:after="120"/>
        <w:jc w:val="both"/>
      </w:pPr>
      <w:r>
        <w:rPr>
          <w:rFonts w:ascii="Calibri" w:cs="Calibri" w:eastAsia="Calibri" w:hAnsi="Calibri"/>
          <w:b/>
          <w:bCs/>
          <w:sz w:val="21"/>
          <w:szCs w:val="21"/>
        </w:rPr>
        <w:t xml:space="preserve">Acciones que dispara la aprobación</w:t>
      </w:r>
    </w:p>
    <w:p>
      <w:pPr>
        <w:spacing w:after="120"/>
        <w:jc w:val="both"/>
      </w:pPr>
      <w:r>
        <w:rPr>
          <w:rFonts w:ascii="Calibri" w:cs="Calibri" w:eastAsia="Calibri" w:hAnsi="Calibri"/>
          <w:sz w:val="21"/>
          <w:szCs w:val="21"/>
        </w:rPr>
        <w:t xml:space="preserve">Aprobar la minuta en el sistema genera todas las acciones pertinentes, sin intervención manual: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63"/>
        <w:gridCol w:w="2290"/>
        <w:gridCol w:w="3885"/>
      </w:tblGrid>
      <w:tr>
        <w:trPr>
          <w:cantSplit/>
          <w:tblHeader/>
        </w:trPr>
        <w:tc>
          <w:tcPr>
            <w:tcW w:type="dxa" w:w="6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w:t>
            </w:r>
          </w:p>
        </w:tc>
        <w:tc>
          <w:tcPr>
            <w:tcW w:type="dxa" w:w="2863"/>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 automática</w:t>
            </w:r>
          </w:p>
        </w:tc>
        <w:tc>
          <w:tcPr>
            <w:tcW w:type="dxa" w:w="229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Cuándo se dispara</w:t>
            </w:r>
          </w:p>
        </w:tc>
        <w:tc>
          <w:tcPr>
            <w:tcW w:type="dxa" w:w="388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Resultado</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1</w:t>
            </w:r>
          </w:p>
        </w:tc>
        <w:tc>
          <w:tcPr>
            <w:tcW w:type="dxa" w:w="286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Alta o modificación de la línea en COBIS por grupo económico</w:t>
            </w:r>
          </w:p>
        </w:tc>
        <w:tc>
          <w:tcPr>
            <w:tcW w:type="dxa" w:w="229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Siempre que la minuta se aprueba</w:t>
            </w:r>
          </w:p>
        </w:tc>
        <w:tc>
          <w:tcPr>
            <w:tcW w:type="dxa" w:w="388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 creada con monto, moneda, subproductos y fecha de revisión aprobados</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2</w:t>
            </w:r>
          </w:p>
        </w:tc>
        <w:tc>
          <w:tcPr>
            <w:tcW w:type="dxa" w:w="286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Alta simplificada del cliente</w:t>
            </w:r>
          </w:p>
        </w:tc>
        <w:tc>
          <w:tcPr>
            <w:tcW w:type="dxa" w:w="229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CUIT no está en COBIS MIS</w:t>
            </w:r>
          </w:p>
        </w:tc>
        <w:tc>
          <w:tcPr>
            <w:tcW w:type="dxa" w:w="388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Cliente creado con CUIT, razón social y rating, marcado para completar</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3</w:t>
            </w:r>
          </w:p>
        </w:tc>
        <w:tc>
          <w:tcPr>
            <w:tcW w:type="dxa" w:w="286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Pedido de OK de garantía a Activas</w:t>
            </w:r>
          </w:p>
        </w:tc>
        <w:tc>
          <w:tcPr>
            <w:tcW w:type="dxa" w:w="229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Algún subproducto requiere garantía</w:t>
            </w:r>
          </w:p>
        </w:tc>
        <w:tc>
          <w:tcPr>
            <w:tcW w:type="dxa" w:w="388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esos subproductos quedan pendientes; el resto se impacta con la aprobación</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4</w:t>
            </w:r>
          </w:p>
        </w:tc>
        <w:tc>
          <w:tcPr>
            <w:tcW w:type="dxa" w:w="286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Habilitación de forzado</w:t>
            </w:r>
          </w:p>
        </w:tc>
        <w:tc>
          <w:tcPr>
            <w:tcW w:type="dxa" w:w="229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Garantía pendiente con urgencia</w:t>
            </w:r>
          </w:p>
        </w:tc>
        <w:tc>
          <w:tcPr>
            <w:tcW w:type="dxa" w:w="388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gerente de Riesgos o el CEO pueden forzar el alta del subproducto; queda la tarea de regularización para Activas</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5</w:t>
            </w:r>
          </w:p>
        </w:tc>
        <w:tc>
          <w:tcPr>
            <w:tcW w:type="dxa" w:w="286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Asignación del aprobador comercial</w:t>
            </w:r>
          </w:p>
        </w:tc>
        <w:tc>
          <w:tcPr>
            <w:tcW w:type="dxa" w:w="229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Según el oficial de la minuta</w:t>
            </w:r>
          </w:p>
        </w:tc>
        <w:tc>
          <w:tcPr>
            <w:tcW w:type="dxa" w:w="388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Queda registrado quién aprobó por Comercial</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6</w:t>
            </w:r>
          </w:p>
        </w:tc>
        <w:tc>
          <w:tcPr>
            <w:tcW w:type="dxa" w:w="286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Firma por DocuSign</w:t>
            </w:r>
          </w:p>
        </w:tc>
        <w:tc>
          <w:tcPr>
            <w:tcW w:type="dxa" w:w="229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Minutas del subcomité</w:t>
            </w:r>
          </w:p>
        </w:tc>
        <w:tc>
          <w:tcPr>
            <w:tcW w:type="dxa" w:w="388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envía al CEO y el documento firmado se archiva con la minuta</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7</w:t>
            </w:r>
          </w:p>
        </w:tc>
        <w:tc>
          <w:tcPr>
            <w:tcW w:type="dxa" w:w="286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Configuración de línea USD ajustable</w:t>
            </w:r>
          </w:p>
        </w:tc>
        <w:tc>
          <w:tcPr>
            <w:tcW w:type="dxa" w:w="229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línea se aprobó en dólares ajustable en pesos</w:t>
            </w:r>
          </w:p>
        </w:tc>
        <w:tc>
          <w:tcPr>
            <w:tcW w:type="dxa" w:w="388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activa la actualización por tipo de cambio (Módulo C)</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8</w:t>
            </w:r>
          </w:p>
        </w:tc>
        <w:tc>
          <w:tcPr>
            <w:tcW w:type="dxa" w:w="286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Notificaciones</w:t>
            </w:r>
          </w:p>
        </w:tc>
        <w:tc>
          <w:tcPr>
            <w:tcW w:type="dxa" w:w="229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 aprobar y al completar cada acción</w:t>
            </w:r>
          </w:p>
        </w:tc>
        <w:tc>
          <w:tcPr>
            <w:tcW w:type="dxa" w:w="388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 Riesgo de Crédito, oficial y gerente comercial reciben aviso</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9</w:t>
            </w:r>
          </w:p>
        </w:tc>
        <w:tc>
          <w:tcPr>
            <w:tcW w:type="dxa" w:w="286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Habilitación para operar</w:t>
            </w:r>
          </w:p>
        </w:tc>
        <w:tc>
          <w:tcPr>
            <w:tcW w:type="dxa" w:w="229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línea quedó activa</w:t>
            </w:r>
          </w:p>
        </w:tc>
        <w:tc>
          <w:tcPr>
            <w:tcW w:type="dxa" w:w="388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línea aparece en la pantalla de líneas (Módulo D)</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10</w:t>
            </w:r>
          </w:p>
        </w:tc>
        <w:tc>
          <w:tcPr>
            <w:tcW w:type="dxa" w:w="286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Registro de auditoría</w:t>
            </w:r>
          </w:p>
        </w:tc>
        <w:tc>
          <w:tcPr>
            <w:tcW w:type="dxa" w:w="229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Siempre</w:t>
            </w:r>
          </w:p>
        </w:tc>
        <w:tc>
          <w:tcPr>
            <w:tcW w:type="dxa" w:w="388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Quién aprobó, cuándo, qué versión y qué acciones se ejecutaron o fallaron</w:t>
            </w:r>
          </w:p>
        </w:tc>
      </w:tr>
    </w:tbl>
    <w:p>
      <w:pPr>
        <w:spacing w:after="120"/>
      </w:pPr>
    </w:p>
    <w:p>
      <w:pPr>
        <w:spacing w:after="120"/>
        <w:jc w:val="both"/>
      </w:pPr>
      <w:r>
        <w:rPr>
          <w:rFonts w:ascii="Calibri" w:cs="Calibri" w:eastAsia="Calibri" w:hAnsi="Calibri"/>
          <w:sz w:val="21"/>
          <w:szCs w:val="21"/>
        </w:rPr>
        <w:t xml:space="preserve">La lista de acciones es una propuesta inicial armada a partir del relevamiento y se debe confirmar con Riesgos, Middle Office y Red BI.</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Que la línea aprobada quede cargada en COBIS directamente desde la minuta, sin retipeo y sin re-aprobaciones.</w:t>
      </w:r>
    </w:p>
    <w:p>
      <w:pPr>
        <w:spacing w:after="120"/>
        <w:jc w:val="both"/>
      </w:pPr>
      <w:r>
        <w:rPr>
          <w:rFonts w:ascii="Calibri" w:cs="Calibri" w:eastAsia="Calibri" w:hAnsi="Calibri"/>
          <w:b/>
          <w:bCs/>
          <w:sz w:val="21"/>
          <w:szCs w:val="21"/>
        </w:rPr>
        <w:t xml:space="preserve">Flujo</w:t>
      </w:r>
    </w:p>
    <w:p>
      <w:pPr>
        <w:pStyle w:val="ListParagraph"/>
        <w:numPr>
          <w:ilvl w:val="0"/>
          <w:numId w:val="8"/>
        </w:numPr>
        <w:spacing w:after="60"/>
      </w:pPr>
      <w:r>
        <w:rPr>
          <w:rFonts w:ascii="Calibri" w:cs="Calibri" w:eastAsia="Calibri" w:hAnsi="Calibri"/>
          <w:b/>
          <w:bCs/>
          <w:sz w:val="21"/>
          <w:szCs w:val="21"/>
        </w:rPr>
        <w:t xml:space="preserve">Minuta aprobada</w:t>
      </w:r>
      <w:r>
        <w:rPr>
          <w:rFonts w:ascii="Calibri" w:cs="Calibri" w:eastAsia="Calibri" w:hAnsi="Calibri"/>
          <w:sz w:val="21"/>
          <w:szCs w:val="21"/>
        </w:rPr>
        <w:t xml:space="preserve">, con oficial y CUIT (Módulo A).</w:t>
      </w:r>
    </w:p>
    <w:p>
      <w:pPr>
        <w:pStyle w:val="ListParagraph"/>
        <w:numPr>
          <w:ilvl w:val="0"/>
          <w:numId w:val="8"/>
        </w:numPr>
        <w:spacing w:after="60"/>
      </w:pPr>
      <w:r>
        <w:rPr>
          <w:rFonts w:ascii="Calibri" w:cs="Calibri" w:eastAsia="Calibri" w:hAnsi="Calibri"/>
          <w:b/>
          <w:bCs/>
          <w:sz w:val="21"/>
          <w:szCs w:val="21"/>
        </w:rPr>
        <w:t xml:space="preserve">Validación en COBIS MIS:</w:t>
      </w:r>
      <w:r>
        <w:rPr>
          <w:rFonts w:ascii="Calibri" w:cs="Calibri" w:eastAsia="Calibri" w:hAnsi="Calibri"/>
          <w:sz w:val="21"/>
          <w:szCs w:val="21"/>
        </w:rPr>
        <w:t xml:space="preserve"> ¿el cliente está en la base?</w:t>
      </w:r>
    </w:p>
    <w:p>
      <w:pPr>
        <w:pStyle w:val="ListParagraph"/>
        <w:numPr>
          <w:ilvl w:val="0"/>
          <w:numId w:val="8"/>
        </w:numPr>
        <w:spacing w:after="60"/>
      </w:pPr>
      <w:r>
        <w:rPr>
          <w:rFonts w:ascii="Calibri" w:cs="Calibri" w:eastAsia="Calibri" w:hAnsi="Calibri"/>
          <w:b/>
          <w:bCs/>
          <w:sz w:val="21"/>
          <w:szCs w:val="21"/>
        </w:rPr>
        <w:t xml:space="preserve">Carga automática</w:t>
      </w:r>
      <w:r>
        <w:rPr>
          <w:rFonts w:ascii="Calibri" w:cs="Calibri" w:eastAsia="Calibri" w:hAnsi="Calibri"/>
          <w:sz w:val="21"/>
          <w:szCs w:val="21"/>
        </w:rPr>
        <w:t xml:space="preserve">, con ajustes de Riesgos si hace falta.</w:t>
      </w:r>
    </w:p>
    <w:p>
      <w:pPr>
        <w:pStyle w:val="ListParagraph"/>
        <w:numPr>
          <w:ilvl w:val="0"/>
          <w:numId w:val="8"/>
        </w:numPr>
        <w:spacing w:after="60"/>
      </w:pPr>
      <w:r>
        <w:rPr>
          <w:rFonts w:ascii="Calibri" w:cs="Calibri" w:eastAsia="Calibri" w:hAnsi="Calibri"/>
          <w:b/>
          <w:bCs/>
          <w:sz w:val="21"/>
          <w:szCs w:val="21"/>
        </w:rPr>
        <w:t xml:space="preserve">Garantías:</w:t>
      </w:r>
      <w:r>
        <w:rPr>
          <w:rFonts w:ascii="Calibri" w:cs="Calibri" w:eastAsia="Calibri" w:hAnsi="Calibri"/>
          <w:sz w:val="21"/>
          <w:szCs w:val="21"/>
        </w:rPr>
        <w:t xml:space="preserve"> los subproductos que requieren garantía esperan el OK de Activas.</w:t>
      </w:r>
    </w:p>
    <w:p>
      <w:pPr>
        <w:pStyle w:val="ListParagraph"/>
        <w:numPr>
          <w:ilvl w:val="0"/>
          <w:numId w:val="8"/>
        </w:numPr>
        <w:spacing w:after="60"/>
      </w:pPr>
      <w:r>
        <w:rPr>
          <w:rFonts w:ascii="Calibri" w:cs="Calibri" w:eastAsia="Calibri" w:hAnsi="Calibri"/>
          <w:b/>
          <w:bCs/>
          <w:sz w:val="21"/>
          <w:szCs w:val="21"/>
        </w:rPr>
        <w:t xml:space="preserve">Alta:</w:t>
      </w:r>
      <w:r>
        <w:rPr>
          <w:rFonts w:ascii="Calibri" w:cs="Calibri" w:eastAsia="Calibri" w:hAnsi="Calibri"/>
          <w:sz w:val="21"/>
          <w:szCs w:val="21"/>
        </w:rPr>
        <w:t xml:space="preserve"> los subproductos sin garantía quedan activos con la aprobación; los demás, al regularizarse la garantía.</w:t>
      </w:r>
    </w:p>
    <w:p>
      <w:pPr>
        <w:spacing w:after="120"/>
        <w:jc w:val="both"/>
      </w:pPr>
      <w:r>
        <w:rPr>
          <w:rFonts w:ascii="Calibri" w:cs="Calibri" w:eastAsia="Calibri" w:hAnsi="Calibri"/>
          <w:b/>
          <w:bCs/>
          <w:sz w:val="21"/>
          <w:szCs w:val="21"/>
        </w:rPr>
        <w:t xml:space="preserve">Escenarios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4"/>
        <w:gridCol w:w="4565"/>
        <w:gridCol w:w="1979"/>
      </w:tblGrid>
      <w:tr>
        <w:trPr>
          <w:cantSplit/>
          <w:tblHeader/>
        </w:trPr>
        <w:tc>
          <w:tcPr>
            <w:tcW w:type="dxa" w:w="309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Escenario</w:t>
            </w:r>
          </w:p>
        </w:tc>
        <w:tc>
          <w:tcPr>
            <w:tcW w:type="dxa" w:w="456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Qué hace el sistema</w:t>
            </w:r>
          </w:p>
        </w:tc>
        <w:tc>
          <w:tcPr>
            <w:tcW w:type="dxa" w:w="197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Quién interviene</w:t>
            </w:r>
          </w:p>
        </w:tc>
      </w:tr>
      <w:tr>
        <w:trPr>
          <w:cantSplit/>
          <w:tblHeader w:val="false"/>
        </w:trPr>
        <w:tc>
          <w:tcPr>
            <w:tcW w:type="dxa" w:w="3094"/>
            <w:tcMar>
              <w:top w:type="dxa" w:w="60"/>
              <w:left w:type="dxa" w:w="100"/>
              <w:bottom w:type="dxa" w:w="60"/>
              <w:right w:type="dxa" w:w="100"/>
            </w:tcMar>
          </w:tcPr>
          <w:p>
            <w:pPr>
              <w:spacing w:after="0"/>
            </w:pPr>
            <w:r>
              <w:rPr>
                <w:rFonts w:ascii="Calibri" w:cs="Calibri" w:eastAsia="Calibri" w:hAnsi="Calibri"/>
                <w:b/>
                <w:bCs/>
                <w:sz w:val="18"/>
                <w:szCs w:val="18"/>
              </w:rPr>
              <w:t xml:space="preserve">Cliente en COBIS MIS, sin garantía</w:t>
            </w:r>
          </w:p>
        </w:tc>
        <w:tc>
          <w:tcPr>
            <w:tcW w:type="dxa" w:w="45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la línea y la da de alta directamente</w:t>
            </w:r>
          </w:p>
        </w:tc>
        <w:tc>
          <w:tcPr>
            <w:tcW w:type="dxa" w:w="197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Nadie (automático)</w:t>
            </w:r>
          </w:p>
        </w:tc>
      </w:tr>
      <w:tr>
        <w:trPr>
          <w:cantSplit/>
          <w:tblHeader w:val="false"/>
        </w:trPr>
        <w:tc>
          <w:tcPr>
            <w:tcW w:type="dxa" w:w="309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Cliente en COBIS MIS, con subproductos que requieren garantía</w:t>
            </w:r>
          </w:p>
        </w:tc>
        <w:tc>
          <w:tcPr>
            <w:tcW w:type="dxa" w:w="45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Los subproductos sin garantía se impactan con la aprobación del comité; solo los que requieren garantía quedan pendientes hasta que Activas la regularice</w:t>
            </w:r>
          </w:p>
        </w:tc>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Activas</w:t>
            </w:r>
          </w:p>
        </w:tc>
      </w:tr>
      <w:tr>
        <w:trPr>
          <w:cantSplit/>
          <w:tblHeader w:val="false"/>
        </w:trPr>
        <w:tc>
          <w:tcPr>
            <w:tcW w:type="dxa" w:w="3094"/>
            <w:tcMar>
              <w:top w:type="dxa" w:w="60"/>
              <w:left w:type="dxa" w:w="100"/>
              <w:bottom w:type="dxa" w:w="60"/>
              <w:right w:type="dxa" w:w="100"/>
            </w:tcMar>
          </w:tcPr>
          <w:p>
            <w:pPr>
              <w:spacing w:after="0"/>
            </w:pPr>
            <w:r>
              <w:rPr>
                <w:rFonts w:ascii="Calibri" w:cs="Calibri" w:eastAsia="Calibri" w:hAnsi="Calibri"/>
                <w:b/>
                <w:bCs/>
                <w:sz w:val="18"/>
                <w:szCs w:val="18"/>
              </w:rPr>
              <w:t xml:space="preserve">Garantía pendiente con urgencia</w:t>
            </w:r>
          </w:p>
        </w:tc>
        <w:tc>
          <w:tcPr>
            <w:tcW w:type="dxa" w:w="45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para forzar el alta del subproducto pendiente; queda registrada la excepción y la tarea de regularización</w:t>
            </w:r>
          </w:p>
        </w:tc>
        <w:tc>
          <w:tcPr>
            <w:tcW w:type="dxa" w:w="197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Gerente de Riesgos o CEO; luego Activas</w:t>
            </w:r>
          </w:p>
        </w:tc>
      </w:tr>
      <w:tr>
        <w:trPr>
          <w:cantSplit/>
          <w:tblHeader w:val="false"/>
        </w:trPr>
        <w:tc>
          <w:tcPr>
            <w:tcW w:type="dxa" w:w="309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Cliente que no está en COBIS MIS</w:t>
            </w:r>
          </w:p>
        </w:tc>
        <w:tc>
          <w:tcPr>
            <w:tcW w:type="dxa" w:w="45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Alta simplificada con CUIT, razón social y rating; luego sigue el circuito normal</w:t>
            </w:r>
          </w:p>
        </w:tc>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Riesgos</w:t>
            </w:r>
          </w:p>
        </w:tc>
      </w:tr>
    </w:tbl>
    <w:p>
      <w:pPr>
        <w:spacing w:after="120"/>
      </w:pPr>
    </w:p>
    <w:p>
      <w:pPr>
        <w:spacing w:after="120"/>
        <w:jc w:val="both"/>
      </w:pPr>
      <w:r>
        <w:rPr>
          <w:rFonts w:ascii="Calibri" w:cs="Calibri" w:eastAsia="Calibri" w:hAnsi="Calibri"/>
          <w:b/>
          <w:bCs/>
          <w:sz w:val="21"/>
          <w:szCs w:val="21"/>
        </w:rPr>
        <w:t xml:space="preserve">Antes y después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56"/>
        <w:gridCol w:w="5682"/>
      </w:tblGrid>
      <w:tr>
        <w:trPr>
          <w:cantSplit/>
          <w:tblHeader/>
        </w:trPr>
        <w:tc>
          <w:tcPr>
            <w:tcW w:type="dxa" w:w="395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Hoy</w:t>
            </w:r>
          </w:p>
        </w:tc>
        <w:tc>
          <w:tcPr>
            <w:tcW w:type="dxa" w:w="568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 el proyecto</w:t>
            </w:r>
          </w:p>
        </w:tc>
      </w:tr>
      <w:tr>
        <w:trPr>
          <w:cantSplit/>
          <w:tblHeader w:val="false"/>
        </w:trPr>
        <w:tc>
          <w:tcPr>
            <w:tcW w:type="dxa" w:w="39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 de Crédito tipea la línea a partir de la minuta</w:t>
            </w:r>
          </w:p>
        </w:tc>
        <w:tc>
          <w:tcPr>
            <w:tcW w:type="dxa" w:w="568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línea se genera desde la minuta aprobada</w:t>
            </w:r>
          </w:p>
        </w:tc>
      </w:tr>
      <w:tr>
        <w:trPr>
          <w:cantSplit/>
          <w:tblHeader w:val="false"/>
        </w:trPr>
        <w:tc>
          <w:tcPr>
            <w:tcW w:type="dxa" w:w="39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verifica que la carga coincida con lo aprobado</w:t>
            </w:r>
          </w:p>
        </w:tc>
        <w:tc>
          <w:tcPr>
            <w:tcW w:type="dxa" w:w="568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hace falta: los datos vienen de la misma minuta</w:t>
            </w:r>
          </w:p>
        </w:tc>
      </w:tr>
      <w:tr>
        <w:trPr>
          <w:cantSplit/>
          <w:tblHeader w:val="false"/>
        </w:trPr>
        <w:tc>
          <w:tcPr>
            <w:tcW w:type="dxa" w:w="39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Tres aprobaciones posteriores (comercial, Riesgos, CEO)</w:t>
            </w:r>
          </w:p>
        </w:tc>
        <w:tc>
          <w:tcPr>
            <w:tcW w:type="dxa" w:w="568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aprobación del comité queda registrada en la minuta</w:t>
            </w:r>
          </w:p>
        </w:tc>
      </w:tr>
      <w:tr>
        <w:trPr>
          <w:cantSplit/>
          <w:tblHeader w:val="false"/>
        </w:trPr>
        <w:tc>
          <w:tcPr>
            <w:tcW w:type="dxa" w:w="39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Garantías y excepciones fuera del sistema</w:t>
            </w:r>
          </w:p>
        </w:tc>
        <w:tc>
          <w:tcPr>
            <w:tcW w:type="dxa" w:w="568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quedan pendientes los subproductos con garantía; el forzado queda auditado</w:t>
            </w:r>
          </w:p>
        </w:tc>
      </w:tr>
    </w:tbl>
    <w:p>
      <w:pPr>
        <w:spacing w:after="120"/>
      </w:pPr>
    </w:p>
    <w:p>
      <w:pPr>
        <w:pStyle w:val="Heading2"/>
      </w:pPr>
      <w:r>
        <w:rPr>
          <w:rFonts w:ascii="Calibri" w:cs="Calibri" w:eastAsia="Calibri" w:hAnsi="Calibri"/>
        </w:rPr>
        <w:t xml:space="preserve">Módulo C · Línea en USD ajustable en pesos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Que las líneas aprobadas en dólares y consumidas en pesos se actualicen según el tipo de cambio, para que el consumo y los controles reflejen el valor vigente. Forma parte de la gestión de la línea y por eso va antes de su visualización.</w:t>
      </w:r>
    </w:p>
    <w:p>
      <w:pPr>
        <w:spacing w:after="120"/>
        <w:jc w:val="both"/>
      </w:pPr>
      <w:r>
        <w:rPr>
          <w:rFonts w:ascii="Calibri" w:cs="Calibri" w:eastAsia="Calibri" w:hAnsi="Calibri"/>
          <w:b/>
          <w:bCs/>
          <w:sz w:val="21"/>
          <w:szCs w:val="21"/>
        </w:rPr>
        <w:t xml:space="preserve">Comportamiento esperado</w:t>
      </w:r>
    </w:p>
    <w:p>
      <w:pPr>
        <w:pStyle w:val="ListParagraph"/>
        <w:numPr>
          <w:ilvl w:val="0"/>
          <w:numId w:val="3"/>
        </w:numPr>
        <w:spacing w:after="60"/>
      </w:pPr>
      <w:r>
        <w:rPr>
          <w:rFonts w:ascii="Calibri" w:cs="Calibri" w:eastAsia="Calibri" w:hAnsi="Calibri"/>
          <w:sz w:val="21"/>
          <w:szCs w:val="21"/>
        </w:rPr>
        <w:t xml:space="preserve">La minuta indica que la línea es en USD ajustable en pesos.</w:t>
      </w:r>
    </w:p>
    <w:p>
      <w:pPr>
        <w:pStyle w:val="ListParagraph"/>
        <w:numPr>
          <w:ilvl w:val="0"/>
          <w:numId w:val="3"/>
        </w:numPr>
        <w:spacing w:after="60"/>
      </w:pPr>
      <w:r>
        <w:rPr>
          <w:rFonts w:ascii="Calibri" w:cs="Calibri" w:eastAsia="Calibri" w:hAnsi="Calibri"/>
          <w:sz w:val="21"/>
          <w:szCs w:val="21"/>
        </w:rPr>
        <w:t xml:space="preserve">El sistema recalcula el equivalente en pesos con el tipo de cambio de referencia.</w:t>
      </w:r>
    </w:p>
    <w:p>
      <w:pPr>
        <w:pStyle w:val="ListParagraph"/>
        <w:numPr>
          <w:ilvl w:val="0"/>
          <w:numId w:val="3"/>
        </w:numPr>
        <w:spacing w:after="60"/>
      </w:pPr>
      <w:r>
        <w:rPr>
          <w:rFonts w:ascii="Calibri" w:cs="Calibri" w:eastAsia="Calibri" w:hAnsi="Calibri"/>
          <w:sz w:val="21"/>
          <w:szCs w:val="21"/>
        </w:rPr>
        <w:t xml:space="preserve">El consumo y el control de exceso de línea usan el valor actualizado.</w:t>
      </w:r>
    </w:p>
    <w:p>
      <w:pPr>
        <w:pStyle w:val="ListParagraph"/>
        <w:numPr>
          <w:ilvl w:val="0"/>
          <w:numId w:val="3"/>
        </w:numPr>
        <w:spacing w:after="60"/>
      </w:pPr>
      <w:r>
        <w:rPr>
          <w:rFonts w:ascii="Calibri" w:cs="Calibri" w:eastAsia="Calibri" w:hAnsi="Calibri"/>
          <w:sz w:val="21"/>
          <w:szCs w:val="21"/>
        </w:rPr>
        <w:t xml:space="preserve">La pantalla de líneas muestra el monto en USD, el tipo de cambio aplicado y el equivalente en pesos.</w:t>
      </w:r>
    </w:p>
    <w:p>
      <w:pPr>
        <w:spacing w:after="120"/>
        <w:jc w:val="both"/>
      </w:pPr>
      <w:r>
        <w:rPr>
          <w:rFonts w:ascii="Calibri" w:cs="Calibri" w:eastAsia="Calibri" w:hAnsi="Calibri"/>
          <w:b/>
          <w:bCs/>
          <w:sz w:val="21"/>
          <w:szCs w:val="21"/>
        </w:rPr>
        <w:t xml:space="preserve">Preguntas para Accusys</w:t>
      </w:r>
    </w:p>
    <w:p>
      <w:pPr>
        <w:pStyle w:val="ListParagraph"/>
        <w:numPr>
          <w:ilvl w:val="0"/>
          <w:numId w:val="3"/>
        </w:numPr>
        <w:spacing w:after="60"/>
      </w:pPr>
      <w:r>
        <w:rPr>
          <w:rFonts w:ascii="Calibri" w:cs="Calibri" w:eastAsia="Calibri" w:hAnsi="Calibri"/>
          <w:sz w:val="21"/>
          <w:szCs w:val="21"/>
        </w:rPr>
        <w:t xml:space="preserve">¿COBIS ya soporta líneas en una moneda con consumo en otra?</w:t>
      </w:r>
    </w:p>
    <w:p>
      <w:pPr>
        <w:pStyle w:val="ListParagraph"/>
        <w:numPr>
          <w:ilvl w:val="0"/>
          <w:numId w:val="3"/>
        </w:numPr>
        <w:spacing w:after="60"/>
      </w:pPr>
      <w:r>
        <w:rPr>
          <w:rFonts w:ascii="Calibri" w:cs="Calibri" w:eastAsia="Calibri" w:hAnsi="Calibri"/>
          <w:sz w:val="21"/>
          <w:szCs w:val="21"/>
        </w:rPr>
        <w:t xml:space="preserve">¿Qué tipo de cambio se usa (BNA, A3500, Mesa) y con qué frecuencia se actualiza?</w:t>
      </w:r>
    </w:p>
    <w:p>
      <w:pPr>
        <w:pStyle w:val="ListParagraph"/>
        <w:numPr>
          <w:ilvl w:val="0"/>
          <w:numId w:val="3"/>
        </w:numPr>
        <w:spacing w:after="60"/>
      </w:pPr>
      <w:r>
        <w:rPr>
          <w:rFonts w:ascii="Calibri" w:cs="Calibri" w:eastAsia="Calibri" w:hAnsi="Calibri"/>
          <w:sz w:val="21"/>
          <w:szCs w:val="21"/>
        </w:rPr>
        <w:t xml:space="preserve">Si una suba del tipo de cambio deja la línea excedida, ¿se bloquean nuevas operaciones o solo se alerta?</w:t>
      </w:r>
    </w:p>
    <w:p>
      <w:pPr>
        <w:pStyle w:val="ListParagraph"/>
        <w:numPr>
          <w:ilvl w:val="0"/>
          <w:numId w:val="3"/>
        </w:numPr>
        <w:spacing w:after="60"/>
      </w:pPr>
      <w:r>
        <w:rPr>
          <w:rFonts w:ascii="Calibri" w:cs="Calibri" w:eastAsia="Calibri" w:hAnsi="Calibri"/>
          <w:sz w:val="21"/>
          <w:szCs w:val="21"/>
        </w:rPr>
        <w:t xml:space="preserve">¿Cómo impacta en el control del 15% de la RPC?</w:t>
      </w:r>
    </w:p>
    <w:p>
      <w:pPr>
        <w:spacing w:after="120"/>
        <w:jc w:val="both"/>
      </w:pPr>
      <w:r>
        <w:rPr>
          <w:rFonts w:ascii="Calibri" w:cs="Calibri" w:eastAsia="Calibri" w:hAnsi="Calibri"/>
          <w:sz w:val="21"/>
          <w:szCs w:val="21"/>
        </w:rPr>
        <w:t xml:space="preserve">Este módulo requiere la definición técnica de Accusys antes de estimarse.</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Reunir en una sola pantalla todas las líneas de crédito vigentes, con lo aprobado, lo consumido, lo disponible, su estado y sus vencimientos. La pantalla cumple dos funciones:</w:t>
      </w:r>
    </w:p>
    <w:p>
      <w:pPr>
        <w:pStyle w:val="ListParagraph"/>
        <w:numPr>
          <w:ilvl w:val="0"/>
          <w:numId w:val="3"/>
        </w:numPr>
        <w:spacing w:after="60"/>
      </w:pPr>
      <w:r>
        <w:rPr>
          <w:rFonts w:ascii="Calibri" w:cs="Calibri" w:eastAsia="Calibri" w:hAnsi="Calibri"/>
          <w:b/>
          <w:bCs/>
          <w:sz w:val="21"/>
          <w:szCs w:val="21"/>
        </w:rPr>
        <w:t xml:space="preserve">Visualización:</w:t>
      </w:r>
      <w:r>
        <w:rPr>
          <w:rFonts w:ascii="Calibri" w:cs="Calibri" w:eastAsia="Calibri" w:hAnsi="Calibri"/>
          <w:sz w:val="21"/>
          <w:szCs w:val="21"/>
        </w:rPr>
        <w:t xml:space="preserve"> Middle Office, Riesgos y Comercial consultan en un solo lugar la situación de cada línea y de cada grupo económico.</w:t>
      </w:r>
    </w:p>
    <w:p>
      <w:pPr>
        <w:pStyle w:val="ListParagraph"/>
        <w:numPr>
          <w:ilvl w:val="0"/>
          <w:numId w:val="3"/>
        </w:numPr>
        <w:spacing w:after="60"/>
      </w:pPr>
      <w:r>
        <w:rPr>
          <w:rFonts w:ascii="Calibri" w:cs="Calibri" w:eastAsia="Calibri" w:hAnsi="Calibri"/>
          <w:b/>
          <w:bCs/>
          <w:sz w:val="21"/>
          <w:szCs w:val="21"/>
        </w:rPr>
        <w:t xml:space="preserve">Inicio de la carga de operaciones:</w:t>
      </w:r>
      <w:r>
        <w:rPr>
          <w:rFonts w:ascii="Calibri" w:cs="Calibri" w:eastAsia="Calibri" w:hAnsi="Calibri"/>
          <w:sz w:val="21"/>
          <w:szCs w:val="21"/>
        </w:rPr>
        <w:t xml:space="preserve"> toda operación se inicia desde aquí, sobre la línea elegida. Así cada operación nace asociada a su línea y los controles de disponible, fraccionamiento y tasa se aplican desde el primer momento.</w:t>
      </w:r>
    </w:p>
    <w:p>
      <w:pPr>
        <w:spacing w:after="120"/>
        <w:jc w:val="both"/>
      </w:pPr>
      <w:r>
        <w:rPr>
          <w:rFonts w:ascii="Calibri" w:cs="Calibri" w:eastAsia="Calibri" w:hAnsi="Calibri"/>
          <w:b/>
          <w:bCs/>
          <w:sz w:val="21"/>
          <w:szCs w:val="21"/>
        </w:rPr>
        <w:t xml:space="preserve">Qué muestra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rPr>
          <w:cantSplit/>
          <w:tblHeader/>
        </w:trPr>
        <w:tc>
          <w:tcPr>
            <w:tcW w:type="dxa" w:w="2528"/>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Dato</w:t>
            </w:r>
          </w:p>
        </w:tc>
        <w:tc>
          <w:tcPr>
            <w:tcW w:type="dxa" w:w="711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Detalle</w:t>
            </w:r>
          </w:p>
        </w:tc>
      </w:tr>
      <w:tr>
        <w:trPr>
          <w:cantSplit/>
          <w:tblHeader w:val="false"/>
        </w:trPr>
        <w:tc>
          <w:tcPr>
            <w:tcW w:type="dxa" w:w="252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Cliente y grupo económico</w:t>
            </w:r>
          </w:p>
        </w:tc>
        <w:tc>
          <w:tcPr>
            <w:tcW w:type="dxa" w:w="71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Razón social, CUIT y grupo económico (COBIS MIS)</w:t>
            </w:r>
          </w:p>
        </w:tc>
      </w:tr>
      <w:tr>
        <w:trPr>
          <w:cantSplit/>
          <w:tblHeader w:val="false"/>
        </w:trPr>
        <w:tc>
          <w:tcPr>
            <w:tcW w:type="dxa" w:w="252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w:t>
            </w:r>
          </w:p>
        </w:tc>
        <w:tc>
          <w:tcPr>
            <w:tcW w:type="dxa" w:w="711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Producto y subproductos, moneda (incluida USD ajustable en pesos), minuta que la aprobó y fecha de revisión</w:t>
            </w:r>
          </w:p>
        </w:tc>
      </w:tr>
      <w:tr>
        <w:trPr>
          <w:cantSplit/>
          <w:tblHeader w:val="false"/>
        </w:trPr>
        <w:tc>
          <w:tcPr>
            <w:tcW w:type="dxa" w:w="252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Aprobado, consumido y disponible</w:t>
            </w:r>
          </w:p>
        </w:tc>
        <w:tc>
          <w:tcPr>
            <w:tcW w:type="dxa" w:w="71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Monto de la línea, lo usado por las operaciones vigentes y lo que queda disponible</w:t>
            </w:r>
          </w:p>
        </w:tc>
      </w:tr>
      <w:tr>
        <w:trPr>
          <w:cantSplit/>
          <w:tblHeader w:val="false"/>
        </w:trPr>
        <w:tc>
          <w:tcPr>
            <w:tcW w:type="dxa" w:w="252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Fraccionamiento</w:t>
            </w:r>
          </w:p>
        </w:tc>
        <w:tc>
          <w:tcPr>
            <w:tcW w:type="dxa" w:w="711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Uso del grupo económico respecto del 15% de la RPC del banco, con alerta al acercarse al límite</w:t>
            </w:r>
          </w:p>
        </w:tc>
      </w:tr>
      <w:tr>
        <w:trPr>
          <w:cantSplit/>
          <w:tblHeader w:val="false"/>
        </w:trPr>
        <w:tc>
          <w:tcPr>
            <w:tcW w:type="dxa" w:w="252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Vencimientos</w:t>
            </w:r>
          </w:p>
        </w:tc>
        <w:tc>
          <w:tcPr>
            <w:tcW w:type="dxa" w:w="71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Vencimiento de la línea y de las operaciones asociadas</w:t>
            </w:r>
          </w:p>
        </w:tc>
      </w:tr>
      <w:tr>
        <w:trPr>
          <w:cantSplit/>
          <w:tblHeader w:val="false"/>
        </w:trPr>
        <w:tc>
          <w:tcPr>
            <w:tcW w:type="dxa" w:w="252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Estado</w:t>
            </w:r>
          </w:p>
        </w:tc>
        <w:tc>
          <w:tcPr>
            <w:tcW w:type="dxa" w:w="711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Por subproducto: activo, pendiente de garantía, forzado pendiente de regularizar, vencido o por revisar</w:t>
            </w:r>
          </w:p>
        </w:tc>
      </w:tr>
      <w:tr>
        <w:trPr>
          <w:cantSplit/>
          <w:tblHeader w:val="false"/>
        </w:trPr>
        <w:tc>
          <w:tcPr>
            <w:tcW w:type="dxa" w:w="252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vigentes</w:t>
            </w:r>
          </w:p>
        </w:tc>
        <w:tc>
          <w:tcPr>
            <w:tcW w:type="dxa" w:w="71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Préstamos, descubiertos, prefinanciaciones y cheques que consumen la línea</w:t>
            </w:r>
          </w:p>
        </w:tc>
      </w:tr>
    </w:tbl>
    <w:p>
      <w:pPr>
        <w:spacing w:after="120"/>
      </w:pPr>
    </w:p>
    <w:p>
      <w:pPr>
        <w:spacing w:after="120"/>
        <w:jc w:val="both"/>
      </w:pPr>
      <w:r>
        <w:rPr>
          <w:rFonts w:ascii="Calibri" w:cs="Calibri" w:eastAsia="Calibri" w:hAnsi="Calibri"/>
          <w:b/>
          <w:bCs/>
          <w:sz w:val="21"/>
          <w:szCs w:val="21"/>
        </w:rPr>
        <w:t xml:space="preserve">Qué se puede hacer desde la pantalla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6"/>
        <w:gridCol w:w="5982"/>
      </w:tblGrid>
      <w:tr>
        <w:trPr>
          <w:cantSplit/>
          <w:tblHeader/>
        </w:trPr>
        <w:tc>
          <w:tcPr>
            <w:tcW w:type="dxa" w:w="365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w:t>
            </w:r>
          </w:p>
        </w:tc>
        <w:tc>
          <w:tcPr>
            <w:tcW w:type="dxa" w:w="598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Resultado</w:t>
            </w:r>
          </w:p>
        </w:tc>
      </w:tr>
      <w:tr>
        <w:trPr>
          <w:cantSplit/>
          <w:tblHeader w:val="false"/>
        </w:trPr>
        <w:tc>
          <w:tcPr>
            <w:tcW w:type="dxa" w:w="36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Cargar operación de préstamo</w:t>
            </w:r>
          </w:p>
        </w:tc>
        <w:tc>
          <w:tcPr>
            <w:tcW w:type="dxa" w:w="598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Abre la carga del préstamo (Módulo G) con el cliente, la línea y el disponible ya completos</w:t>
            </w:r>
          </w:p>
        </w:tc>
      </w:tr>
      <w:tr>
        <w:trPr>
          <w:cantSplit/>
          <w:tblHeader w:val="false"/>
        </w:trPr>
        <w:tc>
          <w:tcPr>
            <w:tcW w:type="dxa" w:w="36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Cargar prefinanciación de exportaciones e importaciones</w:t>
            </w:r>
          </w:p>
        </w:tc>
        <w:tc>
          <w:tcPr>
            <w:tcW w:type="dxa" w:w="598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Abre la carga de la operación de comercio exterior sobre la línea elegida</w:t>
            </w:r>
          </w:p>
        </w:tc>
      </w:tr>
      <w:tr>
        <w:trPr>
          <w:cantSplit/>
          <w:tblHeader w:val="false"/>
        </w:trPr>
        <w:tc>
          <w:tcPr>
            <w:tcW w:type="dxa" w:w="36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Cargar operación de descubierto</w:t>
            </w:r>
          </w:p>
        </w:tc>
        <w:tc>
          <w:tcPr>
            <w:tcW w:type="dxa" w:w="598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Abre la carga (Módulo F) con el cliente, la línea, el vencimiento y el disponible ya completos</w:t>
            </w:r>
          </w:p>
        </w:tc>
      </w:tr>
      <w:tr>
        <w:trPr>
          <w:cantSplit/>
          <w:tblHeader w:val="false"/>
        </w:trPr>
        <w:tc>
          <w:tcPr>
            <w:tcW w:type="dxa" w:w="36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Renovar un descubierto</w:t>
            </w:r>
          </w:p>
        </w:tc>
        <w:tc>
          <w:tcPr>
            <w:tcW w:type="dxa" w:w="598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Lleva a la pantalla de vencimientos (Módulo I) sobre el descubierto elegido</w:t>
            </w:r>
          </w:p>
        </w:tc>
      </w:tr>
      <w:tr>
        <w:trPr>
          <w:cantSplit/>
          <w:tblHeader w:val="false"/>
        </w:trPr>
        <w:tc>
          <w:tcPr>
            <w:tcW w:type="dxa" w:w="36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Descontar cheques</w:t>
            </w:r>
          </w:p>
        </w:tc>
        <w:tc>
          <w:tcPr>
            <w:tcW w:type="dxa" w:w="598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Abre la operación de descuento (Módulo H) con los cheques endosados por el cliente</w:t>
            </w:r>
          </w:p>
        </w:tc>
      </w:tr>
      <w:tr>
        <w:trPr>
          <w:cantSplit/>
          <w:tblHeader w:val="false"/>
        </w:trPr>
        <w:tc>
          <w:tcPr>
            <w:tcW w:type="dxa" w:w="365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Ver la minuta y el historial</w:t>
            </w:r>
          </w:p>
        </w:tc>
        <w:tc>
          <w:tcPr>
            <w:tcW w:type="dxa" w:w="598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Acceso a la minuta aprobada, sus versiones y las acciones ejecutadas</w:t>
            </w:r>
          </w:p>
        </w:tc>
      </w:tr>
      <w:tr>
        <w:trPr>
          <w:cantSplit/>
          <w:tblHeader w:val="false"/>
        </w:trPr>
        <w:tc>
          <w:tcPr>
            <w:tcW w:type="dxa" w:w="365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Filtrar y exportar</w:t>
            </w:r>
          </w:p>
        </w:tc>
        <w:tc>
          <w:tcPr>
            <w:tcW w:type="dxa" w:w="598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Por cliente, CUIT, grupo, oficial, producto, estado o vencimiento; exportación a Excel</w:t>
            </w:r>
          </w:p>
        </w:tc>
      </w:tr>
    </w:tbl>
    <w:p>
      <w:pPr>
        <w:spacing w:after="120"/>
      </w:pPr>
    </w:p>
    <w:p>
      <w:pPr>
        <w:spacing w:after="120"/>
        <w:jc w:val="both"/>
      </w:pPr>
      <w:r>
        <w:rPr>
          <w:rFonts w:ascii="Calibri" w:cs="Calibri" w:eastAsia="Calibri" w:hAnsi="Calibri"/>
          <w:sz w:val="21"/>
          <w:szCs w:val="21"/>
        </w:rPr>
        <w:t xml:space="preserve">Esta pantalla reemplaza la actual pantalla de consumido de línea: deja de ser solo de consulta y pasa a ser el punto de entrada de toda la operatoria. El circuito de préstamos y de prefinanciaciones queda por relevar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J cubren todo lo que consume una línea activa. Todos comparten tres principios: la operación nace en la pantalla de líneas (o en la de vencimientos, si es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Que Mesa mantenga en el sistema el costo de dinero (costo de fondeo) por plazo y las tasas mínimas, y que toda operación tome de aquí su costo. Esta pantalla va antes de la carga de operaciones: sin costo de fondeo vigente no se puede cargar ni renovar.</w:t>
      </w:r>
    </w:p>
    <w:p>
      <w:pPr>
        <w:spacing w:after="120"/>
        <w:jc w:val="both"/>
      </w:pPr>
      <w:r>
        <w:rPr>
          <w:rFonts w:ascii="Calibri" w:cs="Calibri" w:eastAsia="Calibri" w:hAnsi="Calibri"/>
          <w:b/>
          <w:bCs/>
          <w:sz w:val="21"/>
          <w:szCs w:val="21"/>
        </w:rPr>
        <w:t xml:space="preserve">Principio clave: cada carga o renovación queda asociada al costo de fondeo que corresponde al plazo máximo de la operación otorgada.</w:t>
      </w:r>
    </w:p>
    <w:p>
      <w:pPr>
        <w:spacing w:after="120"/>
        <w:jc w:val="both"/>
      </w:pPr>
      <w:r>
        <w:rPr>
          <w:rFonts w:ascii="Calibri" w:cs="Calibri" w:eastAsia="Calibri" w:hAnsi="Calibri"/>
          <w:b/>
          <w:bCs/>
          <w:sz w:val="21"/>
          <w:szCs w:val="21"/>
        </w:rPr>
        <w:t xml:space="preserve">Flujo</w:t>
      </w:r>
    </w:p>
    <w:p>
      <w:pPr>
        <w:pStyle w:val="ListParagraph"/>
        <w:numPr>
          <w:ilvl w:val="0"/>
          <w:numId w:val="9"/>
        </w:numPr>
        <w:spacing w:after="60"/>
      </w:pPr>
      <w:r>
        <w:rPr>
          <w:rFonts w:ascii="Calibri" w:cs="Calibri" w:eastAsia="Calibri" w:hAnsi="Calibri"/>
          <w:b/>
          <w:bCs/>
          <w:sz w:val="21"/>
          <w:szCs w:val="21"/>
        </w:rPr>
        <w:t xml:space="preserve">Mesa</w:t>
      </w:r>
      <w:r>
        <w:rPr>
          <w:rFonts w:ascii="Calibri" w:cs="Calibri" w:eastAsia="Calibri" w:hAnsi="Calibri"/>
          <w:sz w:val="21"/>
          <w:szCs w:val="21"/>
        </w:rPr>
        <w:t xml:space="preserve"> carga y actualiza el costo de fondeo por plazo y las tasas mínimas.</w:t>
      </w:r>
    </w:p>
    <w:p>
      <w:pPr>
        <w:pStyle w:val="ListParagraph"/>
        <w:numPr>
          <w:ilvl w:val="0"/>
          <w:numId w:val="9"/>
        </w:numPr>
        <w:spacing w:after="60"/>
      </w:pPr>
      <w:r>
        <w:rPr>
          <w:rFonts w:ascii="Calibri" w:cs="Calibri" w:eastAsia="Calibri" w:hAnsi="Calibri"/>
          <w:b/>
          <w:bCs/>
          <w:sz w:val="21"/>
          <w:szCs w:val="21"/>
        </w:rPr>
        <w:t xml:space="preserve">Operación:</w:t>
      </w:r>
      <w:r>
        <w:rPr>
          <w:rFonts w:ascii="Calibri" w:cs="Calibri" w:eastAsia="Calibri" w:hAnsi="Calibri"/>
          <w:sz w:val="21"/>
          <w:szCs w:val="21"/>
        </w:rPr>
        <w:t xml:space="preserve"> se carga o se renueva desde la pantalla de líneas o de vencimientos.</w:t>
      </w:r>
    </w:p>
    <w:p>
      <w:pPr>
        <w:pStyle w:val="ListParagraph"/>
        <w:numPr>
          <w:ilvl w:val="0"/>
          <w:numId w:val="9"/>
        </w:numPr>
        <w:spacing w:after="60"/>
      </w:pPr>
      <w:r>
        <w:rPr>
          <w:rFonts w:ascii="Calibri" w:cs="Calibri" w:eastAsia="Calibri" w:hAnsi="Calibri"/>
          <w:b/>
          <w:bCs/>
          <w:sz w:val="21"/>
          <w:szCs w:val="21"/>
        </w:rPr>
        <w:t xml:space="preserve">Plazo:</w:t>
      </w:r>
      <w:r>
        <w:rPr>
          <w:rFonts w:ascii="Calibri" w:cs="Calibri" w:eastAsia="Calibri" w:hAnsi="Calibri"/>
          <w:sz w:val="21"/>
          <w:szCs w:val="21"/>
        </w:rPr>
        <w:t xml:space="preserve"> el sistema toma el plazo máximo de la operación otorgada.</w:t>
      </w:r>
    </w:p>
    <w:p>
      <w:pPr>
        <w:pStyle w:val="ListParagraph"/>
        <w:numPr>
          <w:ilvl w:val="0"/>
          <w:numId w:val="9"/>
        </w:numPr>
        <w:spacing w:after="60"/>
      </w:pPr>
      <w:r>
        <w:rPr>
          <w:rFonts w:ascii="Calibri" w:cs="Calibri" w:eastAsia="Calibri" w:hAnsi="Calibri"/>
          <w:b/>
          <w:bCs/>
          <w:sz w:val="21"/>
          <w:szCs w:val="21"/>
        </w:rPr>
        <w:t xml:space="preserve">Costo:</w:t>
      </w:r>
      <w:r>
        <w:rPr>
          <w:rFonts w:ascii="Calibri" w:cs="Calibri" w:eastAsia="Calibri" w:hAnsi="Calibri"/>
          <w:sz w:val="21"/>
          <w:szCs w:val="21"/>
        </w:rPr>
        <w:t xml:space="preserve"> asocia el costo de fondeo de ese plazo y lo deja registrado en la operación.</w:t>
      </w:r>
    </w:p>
    <w:p>
      <w:pPr>
        <w:pStyle w:val="ListParagraph"/>
        <w:numPr>
          <w:ilvl w:val="0"/>
          <w:numId w:val="9"/>
        </w:numPr>
        <w:spacing w:after="60"/>
      </w:pPr>
      <w:r>
        <w:rPr>
          <w:rFonts w:ascii="Calibri" w:cs="Calibri" w:eastAsia="Calibri" w:hAnsi="Calibri"/>
          <w:b/>
          <w:bCs/>
          <w:sz w:val="21"/>
          <w:szCs w:val="21"/>
        </w:rPr>
        <w:t xml:space="preserve">Tasa:</w:t>
      </w:r>
      <w:r>
        <w:rPr>
          <w:rFonts w:ascii="Calibri" w:cs="Calibri" w:eastAsia="Calibri" w:hAnsi="Calibri"/>
          <w:sz w:val="21"/>
          <w:szCs w:val="21"/>
        </w:rPr>
        <w:t xml:space="preserve"> valida que la tasa sea superior a la tasa mínima vigente.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Funcionalidad</w:t>
            </w:r>
          </w:p>
        </w:tc>
        <w:tc>
          <w:tcPr>
            <w:tcW w:type="dxa" w:w="741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Detalle</w:t>
            </w:r>
          </w:p>
        </w:tc>
      </w:tr>
      <w:tr>
        <w:trPr>
          <w:cantSplit/>
          <w:tblHeader w:val="false"/>
        </w:trPr>
        <w:tc>
          <w:tcPr>
            <w:tcW w:type="dxa" w:w="222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Costo de fondeo por plazo</w:t>
            </w:r>
          </w:p>
        </w:tc>
        <w:tc>
          <w:tcPr>
            <w:tcW w:type="dxa" w:w="741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Mesa carga y actualiza el costo de dinero por tramo de plazo (por moneda, a confirmar)</w:t>
            </w:r>
          </w:p>
        </w:tc>
      </w:tr>
      <w:tr>
        <w:trPr>
          <w:cantSplit/>
          <w:tblHeader w:val="false"/>
        </w:trPr>
        <w:tc>
          <w:tcPr>
            <w:tcW w:type="dxa" w:w="222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Tasas mínimas</w:t>
            </w:r>
          </w:p>
        </w:tc>
        <w:tc>
          <w:tcPr>
            <w:tcW w:type="dxa" w:w="741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Mesa carga y actualiza las tasas mínimas que se usan para validar cada operación</w:t>
            </w:r>
          </w:p>
        </w:tc>
      </w:tr>
      <w:tr>
        <w:trPr>
          <w:cantSplit/>
          <w:tblHeader w:val="false"/>
        </w:trPr>
        <w:tc>
          <w:tcPr>
            <w:tcW w:type="dxa" w:w="222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Asociación a cada operación</w:t>
            </w:r>
          </w:p>
        </w:tc>
        <w:tc>
          <w:tcPr>
            <w:tcW w:type="dxa" w:w="741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 cargar o renovar, el costo del plazo máximo otorgado queda guardado en la operación y no cambia aunque Mesa actualice los valores después</w:t>
            </w:r>
          </w:p>
        </w:tc>
      </w:tr>
      <w:tr>
        <w:trPr>
          <w:cantSplit/>
          <w:tblHeader w:val="false"/>
        </w:trPr>
        <w:tc>
          <w:tcPr>
            <w:tcW w:type="dxa" w:w="222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Aplica a</w:t>
            </w:r>
          </w:p>
        </w:tc>
        <w:tc>
          <w:tcPr>
            <w:tcW w:type="dxa" w:w="741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Descubiertos, préstamos, cheques, prefinanciaciones y renovaciones</w:t>
            </w:r>
          </w:p>
        </w:tc>
      </w:tr>
      <w:tr>
        <w:trPr>
          <w:cantSplit/>
          <w:tblHeader w:val="false"/>
        </w:trPr>
        <w:tc>
          <w:tcPr>
            <w:tcW w:type="dxa" w:w="222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Historial (propuesto)</w:t>
            </w:r>
          </w:p>
        </w:tc>
        <w:tc>
          <w:tcPr>
            <w:tcW w:type="dxa" w:w="741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Quién cambió cada valor y desde cuándo rige, para auditar operaciones pasadas</w:t>
            </w:r>
          </w:p>
        </w:tc>
      </w:tr>
    </w:tbl>
    <w:p>
      <w:pPr>
        <w:spacing w:after="120"/>
      </w:pPr>
    </w:p>
    <w:p>
      <w:pPr>
        <w:spacing w:after="120"/>
        <w:jc w:val="both"/>
      </w:pPr>
      <w:r>
        <w:rPr>
          <w:rFonts w:ascii="Calibri" w:cs="Calibri" w:eastAsia="Calibri" w:hAnsi="Calibri"/>
          <w:sz w:val="21"/>
          <w:szCs w:val="21"/>
        </w:rPr>
        <w:t xml:space="preserve">Ejemplo ilustrativo: un descubierto a 30 días toma el costo de fondeo del tramo de 30 días; un préstamo a 12 meses, el del tramo de 12 meses.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Pasar de una carga manual, controlada después por Riesgos, a una carga guiada que se valida sola.</w:t>
      </w:r>
    </w:p>
    <w:p>
      <w:pPr>
        <w:spacing w:after="120"/>
        <w:jc w:val="both"/>
      </w:pPr>
      <w:r>
        <w:rPr>
          <w:rFonts w:ascii="Calibri" w:cs="Calibri" w:eastAsia="Calibri" w:hAnsi="Calibri"/>
          <w:b/>
          <w:bCs/>
          <w:sz w:val="21"/>
          <w:szCs w:val="21"/>
        </w:rPr>
        <w:t xml:space="preserve">Flujo</w:t>
      </w:r>
    </w:p>
    <w:p>
      <w:pPr>
        <w:pStyle w:val="ListParagraph"/>
        <w:numPr>
          <w:ilvl w:val="0"/>
          <w:numId w:val="10"/>
        </w:numPr>
        <w:spacing w:after="60"/>
      </w:pPr>
      <w:r>
        <w:rPr>
          <w:rFonts w:ascii="Calibri" w:cs="Calibri" w:eastAsia="Calibri" w:hAnsi="Calibri"/>
          <w:b/>
          <w:bCs/>
          <w:sz w:val="21"/>
          <w:szCs w:val="21"/>
        </w:rPr>
        <w:t xml:space="preserve">Inicio</w:t>
      </w:r>
      <w:r>
        <w:rPr>
          <w:rFonts w:ascii="Calibri" w:cs="Calibri" w:eastAsia="Calibri" w:hAnsi="Calibri"/>
          <w:sz w:val="21"/>
          <w:szCs w:val="21"/>
        </w:rPr>
        <w:t xml:space="preserve"> desde la pantalla de líneas (Módulo D), sobre la línea elegida.</w:t>
      </w:r>
    </w:p>
    <w:p>
      <w:pPr>
        <w:pStyle w:val="ListParagraph"/>
        <w:numPr>
          <w:ilvl w:val="0"/>
          <w:numId w:val="10"/>
        </w:numPr>
        <w:spacing w:after="60"/>
      </w:pPr>
      <w:r>
        <w:rPr>
          <w:rFonts w:ascii="Calibri" w:cs="Calibri" w:eastAsia="Calibri" w:hAnsi="Calibri"/>
          <w:b/>
          <w:bCs/>
          <w:sz w:val="21"/>
          <w:szCs w:val="21"/>
        </w:rPr>
        <w:t xml:space="preserve">Datos:</w:t>
      </w:r>
      <w:r>
        <w:rPr>
          <w:rFonts w:ascii="Calibri" w:cs="Calibri" w:eastAsia="Calibri" w:hAnsi="Calibri"/>
          <w:sz w:val="21"/>
          <w:szCs w:val="21"/>
        </w:rPr>
        <w:t xml:space="preserve"> trae el vencimiento de la línea y el monto total del subproducto.</w:t>
      </w:r>
    </w:p>
    <w:p>
      <w:pPr>
        <w:pStyle w:val="ListParagraph"/>
        <w:numPr>
          <w:ilvl w:val="0"/>
          <w:numId w:val="10"/>
        </w:numPr>
        <w:spacing w:after="60"/>
      </w:pPr>
      <w:r>
        <w:rPr>
          <w:rFonts w:ascii="Calibri" w:cs="Calibri" w:eastAsia="Calibri" w:hAnsi="Calibri"/>
          <w:b/>
          <w:bCs/>
          <w:sz w:val="21"/>
          <w:szCs w:val="21"/>
        </w:rPr>
        <w:t xml:space="preserve">Tipo:</w:t>
      </w:r>
      <w:r>
        <w:rPr>
          <w:rFonts w:ascii="Calibri" w:cs="Calibri" w:eastAsia="Calibri" w:hAnsi="Calibri"/>
          <w:sz w:val="21"/>
          <w:szCs w:val="21"/>
        </w:rPr>
        <w:t xml:space="preserve"> operación nueva; full numerales o no.</w:t>
      </w:r>
    </w:p>
    <w:p>
      <w:pPr>
        <w:pStyle w:val="ListParagraph"/>
        <w:numPr>
          <w:ilvl w:val="0"/>
          <w:numId w:val="10"/>
        </w:numPr>
        <w:spacing w:after="60"/>
      </w:pPr>
      <w:r>
        <w:rPr>
          <w:rFonts w:ascii="Calibri" w:cs="Calibri" w:eastAsia="Calibri" w:hAnsi="Calibri"/>
          <w:b/>
          <w:bCs/>
          <w:sz w:val="21"/>
          <w:szCs w:val="21"/>
        </w:rPr>
        <w:t xml:space="preserve">Costo y tasa:</w:t>
      </w:r>
      <w:r>
        <w:rPr>
          <w:rFonts w:ascii="Calibri" w:cs="Calibri" w:eastAsia="Calibri" w:hAnsi="Calibri"/>
          <w:sz w:val="21"/>
          <w:szCs w:val="21"/>
        </w:rPr>
        <w:t xml:space="preserve"> costo de fondeo según el plazo máximo y tasa mínima (Módulo E).</w:t>
      </w:r>
    </w:p>
    <w:p>
      <w:pPr>
        <w:pStyle w:val="ListParagraph"/>
        <w:numPr>
          <w:ilvl w:val="0"/>
          <w:numId w:val="10"/>
        </w:numPr>
        <w:spacing w:after="60"/>
      </w:pPr>
      <w:r>
        <w:rPr>
          <w:rFonts w:ascii="Calibri" w:cs="Calibri" w:eastAsia="Calibri" w:hAnsi="Calibri"/>
          <w:b/>
          <w:bCs/>
          <w:sz w:val="21"/>
          <w:szCs w:val="21"/>
        </w:rPr>
        <w:t xml:space="preserve">Validaciones:</w:t>
      </w:r>
      <w:r>
        <w:rPr>
          <w:rFonts w:ascii="Calibri" w:cs="Calibri" w:eastAsia="Calibri" w:hAnsi="Calibri"/>
          <w:sz w:val="21"/>
          <w:szCs w:val="21"/>
        </w:rPr>
        <w:t xml:space="preserve"> línea y 15% de la RPC; garantía con OK de Activas.</w:t>
      </w:r>
    </w:p>
    <w:p>
      <w:pPr>
        <w:pStyle w:val="ListParagraph"/>
        <w:numPr>
          <w:ilvl w:val="0"/>
          <w:numId w:val="10"/>
        </w:numPr>
        <w:spacing w:after="60"/>
      </w:pPr>
      <w:r>
        <w:rPr>
          <w:rFonts w:ascii="Calibri" w:cs="Calibri" w:eastAsia="Calibri" w:hAnsi="Calibri"/>
          <w:b/>
          <w:bCs/>
          <w:sz w:val="21"/>
          <w:szCs w:val="21"/>
        </w:rPr>
        <w:t xml:space="preserve">Alta</w:t>
      </w:r>
      <w:r>
        <w:rPr>
          <w:rFonts w:ascii="Calibri" w:cs="Calibri" w:eastAsia="Calibri" w:hAnsi="Calibri"/>
          <w:sz w:val="21"/>
          <w:szCs w:val="21"/>
        </w:rPr>
        <w:t xml:space="preserve"> del acuerdo (y de la garantía, si corresponde).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5"/>
        <w:gridCol w:w="2947"/>
        <w:gridCol w:w="4876"/>
      </w:tblGrid>
      <w:tr>
        <w:trPr>
          <w:cantSplit/>
          <w:tblHeader/>
        </w:trPr>
        <w:tc>
          <w:tcPr>
            <w:tcW w:type="dxa" w:w="181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Tema</w:t>
            </w:r>
          </w:p>
        </w:tc>
        <w:tc>
          <w:tcPr>
            <w:tcW w:type="dxa" w:w="2947"/>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Hoy</w:t>
            </w:r>
          </w:p>
        </w:tc>
        <w:tc>
          <w:tcPr>
            <w:tcW w:type="dxa" w:w="487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Propuesta</w:t>
            </w:r>
          </w:p>
        </w:tc>
      </w:tr>
      <w:tr>
        <w:trPr>
          <w:cantSplit/>
          <w:tblHeader w:val="false"/>
        </w:trPr>
        <w:tc>
          <w:tcPr>
            <w:tcW w:type="dxa" w:w="1815"/>
            <w:tcMar>
              <w:top w:type="dxa" w:w="60"/>
              <w:left w:type="dxa" w:w="100"/>
              <w:bottom w:type="dxa" w:w="60"/>
              <w:right w:type="dxa" w:w="100"/>
            </w:tcMar>
          </w:tcPr>
          <w:p>
            <w:pPr>
              <w:spacing w:after="0"/>
            </w:pPr>
            <w:r>
              <w:rPr>
                <w:rFonts w:ascii="Calibri" w:cs="Calibri" w:eastAsia="Calibri" w:hAnsi="Calibri"/>
                <w:b/>
                <w:bCs/>
                <w:sz w:val="18"/>
                <w:szCs w:val="18"/>
              </w:rPr>
              <w:t xml:space="preserve">Inicio de la carga</w:t>
            </w:r>
          </w:p>
        </w:tc>
        <w:tc>
          <w:tcPr>
            <w:tcW w:type="dxa" w:w="294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 carga desde cero y envía a Riesgos</w:t>
            </w:r>
          </w:p>
        </w:tc>
        <w:tc>
          <w:tcPr>
            <w:tcW w:type="dxa" w:w="487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Desde la pantalla de líneas, con el cliente, la línea y el disponible ya completos</w:t>
            </w:r>
          </w:p>
        </w:tc>
      </w:tr>
      <w:tr>
        <w:trPr>
          <w:cantSplit/>
          <w:tblHeader w:val="false"/>
        </w:trPr>
        <w:tc>
          <w:tcPr>
            <w:tcW w:type="dxa" w:w="181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Vencimiento y monto</w:t>
            </w:r>
          </w:p>
        </w:tc>
        <w:tc>
          <w:tcPr>
            <w:tcW w:type="dxa" w:w="294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ingresan a mano</w:t>
            </w:r>
          </w:p>
        </w:tc>
        <w:tc>
          <w:tcPr>
            <w:tcW w:type="dxa" w:w="487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Trae el vencimiento de la línea y, por defecto, el monto total del subproducto (editable)</w:t>
            </w:r>
          </w:p>
        </w:tc>
      </w:tr>
      <w:tr>
        <w:trPr>
          <w:cantSplit/>
          <w:tblHeader w:val="false"/>
        </w:trPr>
        <w:tc>
          <w:tcPr>
            <w:tcW w:type="dxa" w:w="1815"/>
            <w:tcMar>
              <w:top w:type="dxa" w:w="60"/>
              <w:left w:type="dxa" w:w="100"/>
              <w:bottom w:type="dxa" w:w="60"/>
              <w:right w:type="dxa" w:w="100"/>
            </w:tcMar>
          </w:tcPr>
          <w:p>
            <w:pPr>
              <w:spacing w:after="0"/>
            </w:pPr>
            <w:r>
              <w:rPr>
                <w:rFonts w:ascii="Calibri" w:cs="Calibri" w:eastAsia="Calibri" w:hAnsi="Calibri"/>
                <w:b/>
                <w:bCs/>
                <w:sz w:val="18"/>
                <w:szCs w:val="18"/>
              </w:rPr>
              <w:t xml:space="preserve">Costo de fondeo</w:t>
            </w:r>
          </w:p>
        </w:tc>
        <w:tc>
          <w:tcPr>
            <w:tcW w:type="dxa" w:w="294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queda asociado</w:t>
            </w:r>
          </w:p>
        </w:tc>
        <w:tc>
          <w:tcPr>
            <w:tcW w:type="dxa" w:w="487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asocia automáticamente según el plazo máximo del acuerdo</w:t>
            </w:r>
          </w:p>
        </w:tc>
      </w:tr>
      <w:tr>
        <w:trPr>
          <w:cantSplit/>
          <w:tblHeader w:val="false"/>
        </w:trPr>
        <w:tc>
          <w:tcPr>
            <w:tcW w:type="dxa" w:w="181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Tasa</w:t>
            </w:r>
          </w:p>
        </w:tc>
        <w:tc>
          <w:tcPr>
            <w:tcW w:type="dxa" w:w="294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Sin validación</w:t>
            </w:r>
          </w:p>
        </w:tc>
        <w:tc>
          <w:tcPr>
            <w:tcW w:type="dxa" w:w="487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Valida que sea superior a la tasa mínima de Mesa</w:t>
            </w:r>
          </w:p>
        </w:tc>
      </w:tr>
      <w:tr>
        <w:trPr>
          <w:cantSplit/>
          <w:tblHeader w:val="false"/>
        </w:trPr>
        <w:tc>
          <w:tcPr>
            <w:tcW w:type="dxa" w:w="1815"/>
            <w:tcMar>
              <w:top w:type="dxa" w:w="60"/>
              <w:left w:type="dxa" w:w="100"/>
              <w:bottom w:type="dxa" w:w="60"/>
              <w:right w:type="dxa" w:w="100"/>
            </w:tcMar>
          </w:tcPr>
          <w:p>
            <w:pPr>
              <w:spacing w:after="0"/>
            </w:pPr>
            <w:r>
              <w:rPr>
                <w:rFonts w:ascii="Calibri" w:cs="Calibri" w:eastAsia="Calibri" w:hAnsi="Calibri"/>
                <w:b/>
                <w:bCs/>
                <w:sz w:val="18"/>
                <w:szCs w:val="18"/>
              </w:rPr>
              <w:t xml:space="preserve">Fraccionamiento</w:t>
            </w:r>
          </w:p>
        </w:tc>
        <w:tc>
          <w:tcPr>
            <w:tcW w:type="dxa" w:w="294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Lo controla a mano un analista de Riesgos</w:t>
            </w:r>
          </w:p>
        </w:tc>
        <w:tc>
          <w:tcPr>
            <w:tcW w:type="dxa" w:w="487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Control automático: la suma de operaciones no supera la línea del grupo y el grupo no supera el 15% de la RPC del banco</w:t>
            </w:r>
          </w:p>
        </w:tc>
      </w:tr>
      <w:tr>
        <w:trPr>
          <w:cantSplit/>
          <w:tblHeader w:val="false"/>
        </w:trPr>
        <w:tc>
          <w:tcPr>
            <w:tcW w:type="dxa" w:w="181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Full numerales</w:t>
            </w:r>
          </w:p>
        </w:tc>
        <w:tc>
          <w:tcPr>
            <w:tcW w:type="dxa" w:w="294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Sin distinción</w:t>
            </w:r>
          </w:p>
        </w:tc>
        <w:tc>
          <w:tcPr>
            <w:tcW w:type="dxa" w:w="487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elige si es full numerales; se consumen primero esos acuerdos (por ejemplo, C1 a C5) y después los demás (C6 a C9)</w:t>
            </w:r>
          </w:p>
        </w:tc>
      </w:tr>
      <w:tr>
        <w:trPr>
          <w:cantSplit/>
          <w:tblHeader w:val="false"/>
        </w:trPr>
        <w:tc>
          <w:tcPr>
            <w:tcW w:type="dxa" w:w="1815"/>
            <w:tcMar>
              <w:top w:type="dxa" w:w="60"/>
              <w:left w:type="dxa" w:w="100"/>
              <w:bottom w:type="dxa" w:w="60"/>
              <w:right w:type="dxa" w:w="100"/>
            </w:tcMar>
          </w:tcPr>
          <w:p>
            <w:pPr>
              <w:spacing w:after="0"/>
            </w:pPr>
            <w:r>
              <w:rPr>
                <w:rFonts w:ascii="Calibri" w:cs="Calibri" w:eastAsia="Calibri" w:hAnsi="Calibri"/>
                <w:b/>
                <w:bCs/>
                <w:sz w:val="18"/>
                <w:szCs w:val="18"/>
              </w:rPr>
              <w:t xml:space="preserve">Garantías</w:t>
            </w:r>
          </w:p>
        </w:tc>
        <w:tc>
          <w:tcPr>
            <w:tcW w:type="dxa" w:w="294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Fuera del circuito</w:t>
            </w:r>
          </w:p>
        </w:tc>
        <w:tc>
          <w:tcPr>
            <w:tcW w:type="dxa" w:w="487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carga la garantía, va al OK de Activas y, aprobada, se da de alta junto con el acuerdo</w:t>
            </w:r>
          </w:p>
        </w:tc>
      </w:tr>
      <w:tr>
        <w:trPr>
          <w:cantSplit/>
          <w:tblHeader w:val="false"/>
        </w:trPr>
        <w:tc>
          <w:tcPr>
            <w:tcW w:type="dxa" w:w="181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Ruteo a Riesgos</w:t>
            </w:r>
          </w:p>
        </w:tc>
        <w:tc>
          <w:tcPr>
            <w:tcW w:type="dxa" w:w="294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Siempre</w:t>
            </w:r>
          </w:p>
        </w:tc>
        <w:tc>
          <w:tcPr>
            <w:tcW w:type="dxa" w:w="487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cuando una validación no se cumple (excepción)</w:t>
            </w:r>
          </w:p>
        </w:tc>
      </w:tr>
    </w:tbl>
    <w:p>
      <w:pPr>
        <w:spacing w:after="120"/>
      </w:pPr>
    </w:p>
    <w:p>
      <w:pPr>
        <w:spacing w:after="120"/>
        <w:jc w:val="both"/>
      </w:pPr>
      <w:r>
        <w:rPr>
          <w:rFonts w:ascii="Calibri" w:cs="Calibri" w:eastAsia="Calibri" w:hAnsi="Calibri"/>
          <w:sz w:val="21"/>
          <w:szCs w:val="21"/>
        </w:rPr>
        <w:t xml:space="preserve">No se permite una operación nueva si hay otra vigente del mismo tipo de descubierto; la renovación se hace desde la pantalla de vencimientos (Módulo I). Si una validación falla, el sistema muestra el motivo y permite enviar la operación a Riesgos como excepción (a confirmar).</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Una carga de préstamos guiada desde la pantalla de líneas, más simple y con menos errores.</w:t>
      </w:r>
    </w:p>
    <w:p>
      <w:pPr>
        <w:spacing w:after="120"/>
        <w:jc w:val="both"/>
      </w:pPr>
      <w:r>
        <w:rPr>
          <w:rFonts w:ascii="Calibri" w:cs="Calibri" w:eastAsia="Calibri" w:hAnsi="Calibri"/>
          <w:b/>
          <w:bCs/>
          <w:sz w:val="21"/>
          <w:szCs w:val="21"/>
        </w:rPr>
        <w:t xml:space="preserve">Flujo</w:t>
      </w:r>
    </w:p>
    <w:p>
      <w:pPr>
        <w:pStyle w:val="ListParagraph"/>
        <w:numPr>
          <w:ilvl w:val="0"/>
          <w:numId w:val="11"/>
        </w:numPr>
        <w:spacing w:after="60"/>
      </w:pPr>
      <w:r>
        <w:rPr>
          <w:rFonts w:ascii="Calibri" w:cs="Calibri" w:eastAsia="Calibri" w:hAnsi="Calibri"/>
          <w:b/>
          <w:bCs/>
          <w:sz w:val="21"/>
          <w:szCs w:val="21"/>
        </w:rPr>
        <w:t xml:space="preserve">Inicio</w:t>
      </w:r>
      <w:r>
        <w:rPr>
          <w:rFonts w:ascii="Calibri" w:cs="Calibri" w:eastAsia="Calibri" w:hAnsi="Calibri"/>
          <w:sz w:val="21"/>
          <w:szCs w:val="21"/>
        </w:rPr>
        <w:t xml:space="preserve"> desde la pantalla de líneas, sobre la línea elegida.</w:t>
      </w:r>
    </w:p>
    <w:p>
      <w:pPr>
        <w:pStyle w:val="ListParagraph"/>
        <w:numPr>
          <w:ilvl w:val="0"/>
          <w:numId w:val="11"/>
        </w:numPr>
        <w:spacing w:after="60"/>
      </w:pPr>
      <w:r>
        <w:rPr>
          <w:rFonts w:ascii="Calibri" w:cs="Calibri" w:eastAsia="Calibri" w:hAnsi="Calibri"/>
          <w:b/>
          <w:bCs/>
          <w:sz w:val="21"/>
          <w:szCs w:val="21"/>
        </w:rPr>
        <w:t xml:space="preserve">Operación:</w:t>
      </w:r>
      <w:r>
        <w:rPr>
          <w:rFonts w:ascii="Calibri" w:cs="Calibri" w:eastAsia="Calibri" w:hAnsi="Calibri"/>
          <w:sz w:val="21"/>
          <w:szCs w:val="21"/>
        </w:rPr>
        <w:t xml:space="preserve"> se elige el tipo de préstamo por su nombre, no por código.</w:t>
      </w:r>
    </w:p>
    <w:p>
      <w:pPr>
        <w:pStyle w:val="ListParagraph"/>
        <w:numPr>
          <w:ilvl w:val="0"/>
          <w:numId w:val="11"/>
        </w:numPr>
        <w:spacing w:after="60"/>
      </w:pPr>
      <w:r>
        <w:rPr>
          <w:rFonts w:ascii="Calibri" w:cs="Calibri" w:eastAsia="Calibri" w:hAnsi="Calibri"/>
          <w:b/>
          <w:bCs/>
          <w:sz w:val="21"/>
          <w:szCs w:val="21"/>
        </w:rPr>
        <w:t xml:space="preserve">Condiciones:</w:t>
      </w:r>
      <w:r>
        <w:rPr>
          <w:rFonts w:ascii="Calibri" w:cs="Calibri" w:eastAsia="Calibri" w:hAnsi="Calibri"/>
          <w:sz w:val="21"/>
          <w:szCs w:val="21"/>
        </w:rPr>
        <w:t xml:space="preserve"> monto, plazo, tasa, moneda y sistema de amortización.</w:t>
      </w:r>
    </w:p>
    <w:p>
      <w:pPr>
        <w:pStyle w:val="ListParagraph"/>
        <w:numPr>
          <w:ilvl w:val="0"/>
          <w:numId w:val="11"/>
        </w:numPr>
        <w:spacing w:after="60"/>
      </w:pPr>
      <w:r>
        <w:rPr>
          <w:rFonts w:ascii="Calibri" w:cs="Calibri" w:eastAsia="Calibri" w:hAnsi="Calibri"/>
          <w:b/>
          <w:bCs/>
          <w:sz w:val="21"/>
          <w:szCs w:val="21"/>
        </w:rPr>
        <w:t xml:space="preserve">Amortización:</w:t>
      </w:r>
      <w:r>
        <w:rPr>
          <w:rFonts w:ascii="Calibri" w:cs="Calibri" w:eastAsia="Calibri" w:hAnsi="Calibri"/>
          <w:sz w:val="21"/>
          <w:szCs w:val="21"/>
        </w:rPr>
        <w:t xml:space="preserve"> la tabla de amortización se carga automáticamente.</w:t>
      </w:r>
    </w:p>
    <w:p>
      <w:pPr>
        <w:pStyle w:val="ListParagraph"/>
        <w:numPr>
          <w:ilvl w:val="0"/>
          <w:numId w:val="11"/>
        </w:numPr>
        <w:spacing w:after="60"/>
      </w:pPr>
      <w:r>
        <w:rPr>
          <w:rFonts w:ascii="Calibri" w:cs="Calibri" w:eastAsia="Calibri" w:hAnsi="Calibri"/>
          <w:b/>
          <w:bCs/>
          <w:sz w:val="21"/>
          <w:szCs w:val="21"/>
        </w:rPr>
        <w:t xml:space="preserve">Costo y controles:</w:t>
      </w:r>
      <w:r>
        <w:rPr>
          <w:rFonts w:ascii="Calibri" w:cs="Calibri" w:eastAsia="Calibri" w:hAnsi="Calibri"/>
          <w:sz w:val="21"/>
          <w:szCs w:val="21"/>
        </w:rPr>
        <w:t xml:space="preserve"> costo de fondeo, tasa mínima, línea y 15% de la RPC.</w:t>
      </w:r>
    </w:p>
    <w:p>
      <w:pPr>
        <w:pStyle w:val="ListParagraph"/>
        <w:numPr>
          <w:ilvl w:val="0"/>
          <w:numId w:val="11"/>
        </w:numPr>
        <w:spacing w:after="60"/>
      </w:pPr>
      <w:r>
        <w:rPr>
          <w:rFonts w:ascii="Calibri" w:cs="Calibri" w:eastAsia="Calibri" w:hAnsi="Calibri"/>
          <w:b/>
          <w:bCs/>
          <w:sz w:val="21"/>
          <w:szCs w:val="21"/>
        </w:rPr>
        <w:t xml:space="preserve">Alta</w:t>
      </w:r>
      <w:r>
        <w:rPr>
          <w:rFonts w:ascii="Calibri" w:cs="Calibri" w:eastAsia="Calibri" w:hAnsi="Calibri"/>
          <w:sz w:val="21"/>
          <w:szCs w:val="21"/>
        </w:rPr>
        <w:t xml:space="preserve"> del préstamo; las cuotas quedan visibles en Vencimientos.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cantSplit/>
          <w:tblHeader/>
        </w:trPr>
        <w:tc>
          <w:tcPr>
            <w:tcW w:type="dxa" w:w="3067"/>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Funcionalidad</w:t>
            </w:r>
          </w:p>
        </w:tc>
        <w:tc>
          <w:tcPr>
            <w:tcW w:type="dxa" w:w="6571"/>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Detalle</w:t>
            </w:r>
          </w:p>
        </w:tc>
      </w:tr>
      <w:tr>
        <w:trPr>
          <w:cantSplit/>
          <w:tblHeader w:val="false"/>
        </w:trPr>
        <w:tc>
          <w:tcPr>
            <w:tcW w:type="dxa" w:w="306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Selección de la operación por nombre</w:t>
            </w:r>
          </w:p>
        </w:tc>
        <w:tc>
          <w:tcPr>
            <w:tcW w:type="dxa" w:w="657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usuario busca y elige el tipo de préstamo por su nombre descriptivo; el código de COBIS lo resuelve el sistema</w:t>
            </w:r>
          </w:p>
        </w:tc>
      </w:tr>
      <w:tr>
        <w:trPr>
          <w:cantSplit/>
          <w:tblHeader w:val="false"/>
        </w:trPr>
        <w:tc>
          <w:tcPr>
            <w:tcW w:type="dxa" w:w="306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automática de tablas de amortización</w:t>
            </w:r>
          </w:p>
        </w:tc>
        <w:tc>
          <w:tcPr>
            <w:tcW w:type="dxa" w:w="657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tabla de cuotas (capital, intereses y vencimientos) se genera o se importa automáticamente, sin cargarla cuota por cuota</w:t>
            </w:r>
          </w:p>
        </w:tc>
      </w:tr>
      <w:tr>
        <w:trPr>
          <w:cantSplit/>
          <w:tblHeader w:val="false"/>
        </w:trPr>
        <w:tc>
          <w:tcPr>
            <w:tcW w:type="dxa" w:w="306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Datos por defecto</w:t>
            </w:r>
          </w:p>
        </w:tc>
        <w:tc>
          <w:tcPr>
            <w:tcW w:type="dxa" w:w="657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Cliente, línea y disponible ya completos</w:t>
            </w:r>
          </w:p>
        </w:tc>
      </w:tr>
      <w:tr>
        <w:trPr>
          <w:cantSplit/>
          <w:tblHeader w:val="false"/>
        </w:trPr>
        <w:tc>
          <w:tcPr>
            <w:tcW w:type="dxa" w:w="306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Costo de fondeo</w:t>
            </w:r>
          </w:p>
        </w:tc>
        <w:tc>
          <w:tcPr>
            <w:tcW w:type="dxa" w:w="657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asocia según el plazo máximo del préstamo</w:t>
            </w:r>
          </w:p>
        </w:tc>
      </w:tr>
      <w:tr>
        <w:trPr>
          <w:cantSplit/>
          <w:tblHeader w:val="false"/>
        </w:trPr>
        <w:tc>
          <w:tcPr>
            <w:tcW w:type="dxa" w:w="3067"/>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Validaciones</w:t>
            </w:r>
          </w:p>
        </w:tc>
        <w:tc>
          <w:tcPr>
            <w:tcW w:type="dxa" w:w="657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Tasa superior a la mínima de Mesa, línea disponible y límite del 15% de la RPC del grupo</w:t>
            </w:r>
          </w:p>
        </w:tc>
      </w:tr>
      <w:tr>
        <w:trPr>
          <w:cantSplit/>
          <w:tblHeader w:val="false"/>
        </w:trPr>
        <w:tc>
          <w:tcPr>
            <w:tcW w:type="dxa" w:w="3067"/>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Vencimientos</w:t>
            </w:r>
          </w:p>
        </w:tc>
        <w:tc>
          <w:tcPr>
            <w:tcW w:type="dxa" w:w="657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Las cuotas aparecen en la pantalla de vencimientos con su estado</w:t>
            </w:r>
          </w:p>
        </w:tc>
      </w:tr>
    </w:tbl>
    <w:p>
      <w:pPr>
        <w:spacing w:after="120"/>
      </w:pPr>
    </w:p>
    <w:p>
      <w:pPr>
        <w:spacing w:after="120"/>
        <w:jc w:val="both"/>
      </w:pPr>
      <w:r>
        <w:rPr>
          <w:rFonts w:ascii="Calibri" w:cs="Calibri" w:eastAsia="Calibri" w:hAnsi="Calibri"/>
          <w:sz w:val="21"/>
          <w:szCs w:val="21"/>
        </w:rPr>
        <w:t xml:space="preserve">Queda por relevar con Middle Office el circuito actual de préstamos y si las tablas de amortización se generan desde las condiciones o se importan desde un archivo.</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Un circuito de descuento que va de los cheques endosados a la operación desembolsada, con scoring automático y con Riesgos dedicado solo a las excepciones.</w:t>
      </w:r>
    </w:p>
    <w:p>
      <w:pPr>
        <w:spacing w:after="120"/>
        <w:jc w:val="both"/>
      </w:pPr>
      <w:r>
        <w:rPr>
          <w:rFonts w:ascii="Calibri" w:cs="Calibri" w:eastAsia="Calibri" w:hAnsi="Calibri"/>
          <w:b/>
          <w:bCs/>
          <w:sz w:val="21"/>
          <w:szCs w:val="21"/>
        </w:rPr>
        <w:t xml:space="preserve">Circuito propuesto</w:t>
      </w:r>
    </w:p>
    <w:p>
      <w:pPr>
        <w:pStyle w:val="ListParagraph"/>
        <w:numPr>
          <w:ilvl w:val="0"/>
          <w:numId w:val="12"/>
        </w:numPr>
        <w:spacing w:after="60"/>
      </w:pPr>
      <w:r>
        <w:rPr>
          <w:rFonts w:ascii="Calibri" w:cs="Calibri" w:eastAsia="Calibri" w:hAnsi="Calibri"/>
          <w:b/>
          <w:bCs/>
          <w:sz w:val="21"/>
          <w:szCs w:val="21"/>
        </w:rPr>
        <w:t xml:space="preserve">Endoso:</w:t>
      </w:r>
      <w:r>
        <w:rPr>
          <w:rFonts w:ascii="Calibri" w:cs="Calibri" w:eastAsia="Calibri" w:hAnsi="Calibri"/>
          <w:sz w:val="21"/>
          <w:szCs w:val="21"/>
        </w:rPr>
        <w:t xml:space="preserve"> el cliente endosa a favor de VALO los cheques a descontar.</w:t>
      </w:r>
    </w:p>
    <w:p>
      <w:pPr>
        <w:pStyle w:val="ListParagraph"/>
        <w:numPr>
          <w:ilvl w:val="0"/>
          <w:numId w:val="12"/>
        </w:numPr>
        <w:spacing w:after="60"/>
      </w:pPr>
      <w:r>
        <w:rPr>
          <w:rFonts w:ascii="Calibri" w:cs="Calibri" w:eastAsia="Calibri" w:hAnsi="Calibri"/>
          <w:b/>
          <w:bCs/>
          <w:sz w:val="21"/>
          <w:szCs w:val="21"/>
        </w:rPr>
        <w:t xml:space="preserve">Carga:</w:t>
      </w:r>
      <w:r>
        <w:rPr>
          <w:rFonts w:ascii="Calibri" w:cs="Calibri" w:eastAsia="Calibri" w:hAnsi="Calibri"/>
          <w:sz w:val="21"/>
          <w:szCs w:val="21"/>
        </w:rPr>
        <w:t xml:space="preserve"> Middle Office carga la operación de descuento desde la pantalla de líneas; el sistema trae todos los cheques endosados.</w:t>
      </w:r>
    </w:p>
    <w:p>
      <w:pPr>
        <w:pStyle w:val="ListParagraph"/>
        <w:numPr>
          <w:ilvl w:val="0"/>
          <w:numId w:val="12"/>
        </w:numPr>
        <w:spacing w:after="60"/>
      </w:pPr>
      <w:r>
        <w:rPr>
          <w:rFonts w:ascii="Calibri" w:cs="Calibri" w:eastAsia="Calibri" w:hAnsi="Calibri"/>
          <w:b/>
          <w:bCs/>
          <w:sz w:val="21"/>
          <w:szCs w:val="21"/>
        </w:rPr>
        <w:t xml:space="preserve">Selección y scoring:</w:t>
      </w:r>
      <w:r>
        <w:rPr>
          <w:rFonts w:ascii="Calibri" w:cs="Calibri" w:eastAsia="Calibri" w:hAnsi="Calibri"/>
          <w:sz w:val="21"/>
          <w:szCs w:val="21"/>
        </w:rPr>
        <w:t xml:space="preserve"> Middle selecciona los cheques, que pasan por la validación de scoring vinculada al desarrollo de modernización.</w:t>
      </w:r>
    </w:p>
    <w:p>
      <w:pPr>
        <w:pStyle w:val="ListParagraph"/>
        <w:numPr>
          <w:ilvl w:val="0"/>
          <w:numId w:val="12"/>
        </w:numPr>
        <w:spacing w:after="60"/>
      </w:pPr>
      <w:r>
        <w:rPr>
          <w:rFonts w:ascii="Calibri" w:cs="Calibri" w:eastAsia="Calibri" w:hAnsi="Calibri"/>
          <w:b/>
          <w:bCs/>
          <w:sz w:val="21"/>
          <w:szCs w:val="21"/>
        </w:rPr>
        <w:t xml:space="preserve">Control de línea:</w:t>
      </w:r>
      <w:r>
        <w:rPr>
          <w:rFonts w:ascii="Calibri" w:cs="Calibri" w:eastAsia="Calibri" w:hAnsi="Calibri"/>
          <w:sz w:val="21"/>
          <w:szCs w:val="21"/>
        </w:rPr>
        <w:t xml:space="preserve"> al seleccionar, el sistema controla que haya línea disponible para la compra.</w:t>
      </w:r>
    </w:p>
    <w:p>
      <w:pPr>
        <w:pStyle w:val="ListParagraph"/>
        <w:numPr>
          <w:ilvl w:val="0"/>
          <w:numId w:val="12"/>
        </w:numPr>
        <w:spacing w:after="60"/>
      </w:pPr>
      <w:r>
        <w:rPr>
          <w:rFonts w:ascii="Calibri" w:cs="Calibri" w:eastAsia="Calibri" w:hAnsi="Calibri"/>
          <w:b/>
          <w:bCs/>
          <w:sz w:val="21"/>
          <w:szCs w:val="21"/>
        </w:rPr>
        <w:t xml:space="preserve">Simulación:</w:t>
      </w:r>
      <w:r>
        <w:rPr>
          <w:rFonts w:ascii="Calibri" w:cs="Calibri" w:eastAsia="Calibri" w:hAnsi="Calibri"/>
          <w:sz w:val="21"/>
          <w:szCs w:val="21"/>
        </w:rPr>
        <w:t xml:space="preserve"> con los cheques aprobados, Middle simula la operación cerrada con la tasa de descuento precargada y puede compartirla con el cliente. Si la tasa no está cargada, el sistema muestra un error.</w:t>
      </w:r>
    </w:p>
    <w:p>
      <w:pPr>
        <w:pStyle w:val="ListParagraph"/>
        <w:numPr>
          <w:ilvl w:val="0"/>
          <w:numId w:val="12"/>
        </w:numPr>
        <w:spacing w:after="60"/>
      </w:pPr>
      <w:r>
        <w:rPr>
          <w:rFonts w:ascii="Calibri" w:cs="Calibri" w:eastAsia="Calibri" w:hAnsi="Calibri"/>
          <w:b/>
          <w:bCs/>
          <w:sz w:val="21"/>
          <w:szCs w:val="21"/>
        </w:rPr>
        <w:t xml:space="preserve">Excepciones:</w:t>
      </w:r>
      <w:r>
        <w:rPr>
          <w:rFonts w:ascii="Calibri" w:cs="Calibri" w:eastAsia="Calibri" w:hAnsi="Calibri"/>
          <w:sz w:val="21"/>
          <w:szCs w:val="21"/>
        </w:rPr>
        <w:t xml:space="preserve"> si se quiere comprar un eCheq que el scoring no seleccionó, pasa a Riesgos, que analiza el o los cheques y da su OK.</w:t>
      </w:r>
    </w:p>
    <w:p>
      <w:pPr>
        <w:pStyle w:val="ListParagraph"/>
        <w:numPr>
          <w:ilvl w:val="0"/>
          <w:numId w:val="12"/>
        </w:numPr>
        <w:spacing w:after="60"/>
      </w:pPr>
      <w:r>
        <w:rPr>
          <w:rFonts w:ascii="Calibri" w:cs="Calibri" w:eastAsia="Calibri" w:hAnsi="Calibri"/>
          <w:b/>
          <w:bCs/>
          <w:sz w:val="21"/>
          <w:szCs w:val="21"/>
        </w:rPr>
        <w:t xml:space="preserve">Aceptación:</w:t>
      </w:r>
      <w:r>
        <w:rPr>
          <w:rFonts w:ascii="Calibri" w:cs="Calibri" w:eastAsia="Calibri" w:hAnsi="Calibri"/>
          <w:sz w:val="21"/>
          <w:szCs w:val="21"/>
        </w:rPr>
        <w:t xml:space="preserve"> se aceptan los cheques aprobados por scoring o por Riesgos; se rechazan los no seleccionados.</w:t>
      </w:r>
    </w:p>
    <w:p>
      <w:pPr>
        <w:pStyle w:val="ListParagraph"/>
        <w:numPr>
          <w:ilvl w:val="0"/>
          <w:numId w:val="12"/>
        </w:numPr>
        <w:spacing w:after="60"/>
      </w:pPr>
      <w:r>
        <w:rPr>
          <w:rFonts w:ascii="Calibri" w:cs="Calibri" w:eastAsia="Calibri" w:hAnsi="Calibri"/>
          <w:b/>
          <w:bCs/>
          <w:sz w:val="21"/>
          <w:szCs w:val="21"/>
        </w:rPr>
        <w:t xml:space="preserve">Desembolso:</w:t>
      </w:r>
      <w:r>
        <w:rPr>
          <w:rFonts w:ascii="Calibri" w:cs="Calibri" w:eastAsia="Calibri" w:hAnsi="Calibri"/>
          <w:sz w:val="21"/>
          <w:szCs w:val="21"/>
        </w:rPr>
        <w:t xml:space="preserve"> la primera vez, Activas aprueba el acuerdo marco de cheques y parametriza la cuenta de desembolso. Las compras siguientes se desembolsan a esa cuenta sin intervención de Activas.</w:t>
      </w:r>
    </w:p>
    <w:p>
      <w:pPr>
        <w:pStyle w:val="ListParagraph"/>
        <w:numPr>
          <w:ilvl w:val="0"/>
          <w:numId w:val="12"/>
        </w:numPr>
        <w:spacing w:after="60"/>
      </w:pPr>
      <w:r>
        <w:rPr>
          <w:rFonts w:ascii="Calibri" w:cs="Calibri" w:eastAsia="Calibri" w:hAnsi="Calibri"/>
          <w:b/>
          <w:bCs/>
          <w:sz w:val="21"/>
          <w:szCs w:val="21"/>
        </w:rPr>
        <w:t xml:space="preserve">Cierre:</w:t>
      </w:r>
      <w:r>
        <w:rPr>
          <w:rFonts w:ascii="Calibri" w:cs="Calibri" w:eastAsia="Calibri" w:hAnsi="Calibri"/>
          <w:sz w:val="21"/>
          <w:szCs w:val="21"/>
        </w:rPr>
        <w:t xml:space="preserve"> si la operación se completa con éxito, el sistema muestra una pantalla de operación finalizada y Middle Office puede descargar los recibos.</w:t>
      </w:r>
    </w:p>
    <w:p>
      <w:pPr>
        <w:spacing w:after="120"/>
        <w:jc w:val="both"/>
      </w:pPr>
      <w:r>
        <w:rPr>
          <w:rFonts w:ascii="Calibri" w:cs="Calibri" w:eastAsia="Calibri" w:hAnsi="Calibri"/>
          <w:b/>
          <w:bCs/>
          <w:sz w:val="21"/>
          <w:szCs w:val="21"/>
        </w:rPr>
        <w:t xml:space="preserve">Reglas por situación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9"/>
        <w:gridCol w:w="5901"/>
        <w:gridCol w:w="1508"/>
      </w:tblGrid>
      <w:tr>
        <w:trPr>
          <w:cantSplit/>
          <w:tblHeader/>
        </w:trPr>
        <w:tc>
          <w:tcPr>
            <w:tcW w:type="dxa" w:w="222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Situación</w:t>
            </w:r>
          </w:p>
        </w:tc>
        <w:tc>
          <w:tcPr>
            <w:tcW w:type="dxa" w:w="5901"/>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Qué hace el sistema</w:t>
            </w:r>
          </w:p>
        </w:tc>
        <w:tc>
          <w:tcPr>
            <w:tcW w:type="dxa" w:w="1508"/>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Quién interviene</w:t>
            </w:r>
          </w:p>
        </w:tc>
      </w:tr>
      <w:tr>
        <w:trPr>
          <w:cantSplit/>
          <w:tblHeader w:val="false"/>
        </w:trPr>
        <w:tc>
          <w:tcPr>
            <w:tcW w:type="dxa" w:w="2229"/>
            <w:tcMar>
              <w:top w:type="dxa" w:w="60"/>
              <w:left w:type="dxa" w:w="100"/>
              <w:bottom w:type="dxa" w:w="60"/>
              <w:right w:type="dxa" w:w="100"/>
            </w:tcMar>
          </w:tcPr>
          <w:p>
            <w:pPr>
              <w:spacing w:after="0"/>
            </w:pPr>
            <w:r>
              <w:rPr>
                <w:rFonts w:ascii="Calibri" w:cs="Calibri" w:eastAsia="Calibri" w:hAnsi="Calibri"/>
                <w:b/>
                <w:bCs/>
                <w:sz w:val="18"/>
                <w:szCs w:val="18"/>
              </w:rPr>
              <w:t xml:space="preserve">Cheques endosados</w:t>
            </w:r>
          </w:p>
        </w:tc>
        <w:tc>
          <w:tcPr>
            <w:tcW w:type="dxa" w:w="5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 cargar la operación, trae todos los cheques endosados por el cliente a favor de VALO</w:t>
            </w:r>
          </w:p>
        </w:tc>
        <w:tc>
          <w:tcPr>
            <w:tcW w:type="dxa" w:w="150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w:t>
            </w:r>
          </w:p>
        </w:tc>
      </w:tr>
      <w:tr>
        <w:trPr>
          <w:cantSplit/>
          <w:tblHeader w:val="false"/>
        </w:trPr>
        <w:tc>
          <w:tcPr>
            <w:tcW w:type="dxa" w:w="222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Cheque aprobado por scoring</w:t>
            </w:r>
          </w:p>
        </w:tc>
        <w:tc>
          <w:tcPr>
            <w:tcW w:type="dxa" w:w="590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Queda seleccionable para la operación</w:t>
            </w:r>
          </w:p>
        </w:tc>
        <w:tc>
          <w:tcPr>
            <w:tcW w:type="dxa" w:w="150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 (scoring)</w:t>
            </w:r>
          </w:p>
        </w:tc>
      </w:tr>
      <w:tr>
        <w:trPr>
          <w:cantSplit/>
          <w:tblHeader w:val="false"/>
        </w:trPr>
        <w:tc>
          <w:tcPr>
            <w:tcW w:type="dxa" w:w="2229"/>
            <w:tcMar>
              <w:top w:type="dxa" w:w="60"/>
              <w:left w:type="dxa" w:w="100"/>
              <w:bottom w:type="dxa" w:w="60"/>
              <w:right w:type="dxa" w:w="100"/>
            </w:tcMar>
          </w:tcPr>
          <w:p>
            <w:pPr>
              <w:spacing w:after="0"/>
            </w:pPr>
            <w:r>
              <w:rPr>
                <w:rFonts w:ascii="Calibri" w:cs="Calibri" w:eastAsia="Calibri" w:hAnsi="Calibri"/>
                <w:b/>
                <w:bCs/>
                <w:sz w:val="18"/>
                <w:szCs w:val="18"/>
              </w:rPr>
              <w:t xml:space="preserve">Sin línea disponible</w:t>
            </w:r>
          </w:p>
        </w:tc>
        <w:tc>
          <w:tcPr>
            <w:tcW w:type="dxa" w:w="5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 seleccionar, controla el disponible y no permite avanzar con una compra que exceda la línea</w:t>
            </w:r>
          </w:p>
        </w:tc>
        <w:tc>
          <w:tcPr>
            <w:tcW w:type="dxa" w:w="150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w:t>
            </w:r>
          </w:p>
        </w:tc>
      </w:tr>
      <w:tr>
        <w:trPr>
          <w:cantSplit/>
          <w:tblHeader w:val="false"/>
        </w:trPr>
        <w:tc>
          <w:tcPr>
            <w:tcW w:type="dxa" w:w="222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Tasa de descuento no cargada</w:t>
            </w:r>
          </w:p>
        </w:tc>
        <w:tc>
          <w:tcPr>
            <w:tcW w:type="dxa" w:w="590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Muestra un mensaje de error y no permite simular</w:t>
            </w:r>
          </w:p>
        </w:tc>
        <w:tc>
          <w:tcPr>
            <w:tcW w:type="dxa" w:w="150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w:t>
            </w:r>
          </w:p>
        </w:tc>
      </w:tr>
      <w:tr>
        <w:trPr>
          <w:cantSplit/>
          <w:tblHeader w:val="false"/>
        </w:trPr>
        <w:tc>
          <w:tcPr>
            <w:tcW w:type="dxa" w:w="2229"/>
            <w:tcMar>
              <w:top w:type="dxa" w:w="60"/>
              <w:left w:type="dxa" w:w="100"/>
              <w:bottom w:type="dxa" w:w="60"/>
              <w:right w:type="dxa" w:w="100"/>
            </w:tcMar>
          </w:tcPr>
          <w:p>
            <w:pPr>
              <w:spacing w:after="0"/>
            </w:pPr>
            <w:r>
              <w:rPr>
                <w:rFonts w:ascii="Calibri" w:cs="Calibri" w:eastAsia="Calibri" w:hAnsi="Calibri"/>
                <w:b/>
                <w:bCs/>
                <w:sz w:val="18"/>
                <w:szCs w:val="18"/>
              </w:rPr>
              <w:t xml:space="preserve">Simulación</w:t>
            </w:r>
          </w:p>
        </w:tc>
        <w:tc>
          <w:tcPr>
            <w:tcW w:type="dxa" w:w="5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Muestra cómo quedaría la operación cerrada, para trasladarla al cliente</w:t>
            </w:r>
          </w:p>
        </w:tc>
        <w:tc>
          <w:tcPr>
            <w:tcW w:type="dxa" w:w="150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w:t>
            </w:r>
          </w:p>
        </w:tc>
      </w:tr>
      <w:tr>
        <w:trPr>
          <w:cantSplit/>
          <w:tblHeader w:val="false"/>
        </w:trPr>
        <w:tc>
          <w:tcPr>
            <w:tcW w:type="dxa" w:w="222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Forzar un eCheq no seleccionado</w:t>
            </w:r>
          </w:p>
        </w:tc>
        <w:tc>
          <w:tcPr>
            <w:tcW w:type="dxa" w:w="590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Lo envía a Riesgos; con OK se acepta</w:t>
            </w:r>
          </w:p>
        </w:tc>
        <w:tc>
          <w:tcPr>
            <w:tcW w:type="dxa" w:w="150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 y Riesgos</w:t>
            </w:r>
          </w:p>
        </w:tc>
      </w:tr>
      <w:tr>
        <w:trPr>
          <w:cantSplit/>
          <w:tblHeader w:val="false"/>
        </w:trPr>
        <w:tc>
          <w:tcPr>
            <w:tcW w:type="dxa" w:w="2229"/>
            <w:tcMar>
              <w:top w:type="dxa" w:w="60"/>
              <w:left w:type="dxa" w:w="100"/>
              <w:bottom w:type="dxa" w:w="60"/>
              <w:right w:type="dxa" w:w="100"/>
            </w:tcMar>
          </w:tcPr>
          <w:p>
            <w:pPr>
              <w:spacing w:after="0"/>
            </w:pPr>
            <w:r>
              <w:rPr>
                <w:rFonts w:ascii="Calibri" w:cs="Calibri" w:eastAsia="Calibri" w:hAnsi="Calibri"/>
                <w:b/>
                <w:bCs/>
                <w:sz w:val="18"/>
                <w:szCs w:val="18"/>
              </w:rPr>
              <w:t xml:space="preserve">Cheques no seleccionados</w:t>
            </w:r>
          </w:p>
        </w:tc>
        <w:tc>
          <w:tcPr>
            <w:tcW w:type="dxa" w:w="5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rechazan</w:t>
            </w:r>
          </w:p>
        </w:tc>
        <w:tc>
          <w:tcPr>
            <w:tcW w:type="dxa" w:w="150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w:t>
            </w:r>
          </w:p>
        </w:tc>
      </w:tr>
      <w:tr>
        <w:trPr>
          <w:cantSplit/>
          <w:tblHeader w:val="false"/>
        </w:trPr>
        <w:tc>
          <w:tcPr>
            <w:tcW w:type="dxa" w:w="222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Primer descuento del cliente</w:t>
            </w:r>
          </w:p>
        </w:tc>
        <w:tc>
          <w:tcPr>
            <w:tcW w:type="dxa" w:w="590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Pasa a Activas para aprobar el acuerdo marco y parametrizar la cuenta de desembolso</w:t>
            </w:r>
          </w:p>
        </w:tc>
        <w:tc>
          <w:tcPr>
            <w:tcW w:type="dxa" w:w="150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Activas</w:t>
            </w:r>
          </w:p>
        </w:tc>
      </w:tr>
      <w:tr>
        <w:trPr>
          <w:cantSplit/>
          <w:tblHeader w:val="false"/>
        </w:trPr>
        <w:tc>
          <w:tcPr>
            <w:tcW w:type="dxa" w:w="2229"/>
            <w:tcMar>
              <w:top w:type="dxa" w:w="60"/>
              <w:left w:type="dxa" w:w="100"/>
              <w:bottom w:type="dxa" w:w="60"/>
              <w:right w:type="dxa" w:w="100"/>
            </w:tcMar>
          </w:tcPr>
          <w:p>
            <w:pPr>
              <w:spacing w:after="0"/>
            </w:pPr>
            <w:r>
              <w:rPr>
                <w:rFonts w:ascii="Calibri" w:cs="Calibri" w:eastAsia="Calibri" w:hAnsi="Calibri"/>
                <w:b/>
                <w:bCs/>
                <w:sz w:val="18"/>
                <w:szCs w:val="18"/>
              </w:rPr>
              <w:t xml:space="preserve">Cliente con acuerdo marco aprobado</w:t>
            </w:r>
          </w:p>
        </w:tc>
        <w:tc>
          <w:tcPr>
            <w:tcW w:type="dxa" w:w="5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Desembolso automático a la cuenta parametrizada</w:t>
            </w:r>
          </w:p>
        </w:tc>
        <w:tc>
          <w:tcPr>
            <w:tcW w:type="dxa" w:w="1508"/>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w:t>
            </w:r>
          </w:p>
        </w:tc>
      </w:tr>
      <w:tr>
        <w:trPr>
          <w:cantSplit/>
          <w:tblHeader w:val="false"/>
        </w:trPr>
        <w:tc>
          <w:tcPr>
            <w:tcW w:type="dxa" w:w="222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Operación completada</w:t>
            </w:r>
          </w:p>
        </w:tc>
        <w:tc>
          <w:tcPr>
            <w:tcW w:type="dxa" w:w="590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operación finalizada con descarga de recibos</w:t>
            </w:r>
          </w:p>
        </w:tc>
        <w:tc>
          <w:tcPr>
            <w:tcW w:type="dxa" w:w="1508"/>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w:t>
            </w:r>
          </w:p>
        </w:tc>
      </w:tr>
    </w:tbl>
    <w:p>
      <w:pPr>
        <w:spacing w:after="120"/>
      </w:pPr>
    </w:p>
    <w:p>
      <w:pPr>
        <w:spacing w:after="120"/>
        <w:jc w:val="both"/>
      </w:pPr>
      <w:r>
        <w:rPr>
          <w:rFonts w:ascii="Calibri" w:cs="Calibri" w:eastAsia="Calibri" w:hAnsi="Calibri"/>
          <w:b/>
          <w:bCs/>
          <w:sz w:val="21"/>
          <w:szCs w:val="21"/>
        </w:rPr>
        <w:t xml:space="preserve">Qué cambia respecto del circuito relevado el 07/10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572"/>
        <w:gridCol w:w="4566"/>
      </w:tblGrid>
      <w:tr>
        <w:trPr>
          <w:cantSplit/>
          <w:tblHeader/>
        </w:trPr>
        <w:tc>
          <w:tcPr>
            <w:tcW w:type="dxa" w:w="15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Tema</w:t>
            </w:r>
          </w:p>
        </w:tc>
        <w:tc>
          <w:tcPr>
            <w:tcW w:type="dxa" w:w="357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Circuito relevado</w:t>
            </w:r>
          </w:p>
        </w:tc>
        <w:tc>
          <w:tcPr>
            <w:tcW w:type="dxa" w:w="456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Circuito propuesto</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Selección de cheques</w:t>
            </w:r>
          </w:p>
        </w:tc>
        <w:tc>
          <w:tcPr>
            <w:tcW w:type="dxa" w:w="357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Proceso de verificación de aceptación (desarrollado por Martín)</w:t>
            </w:r>
          </w:p>
        </w:tc>
        <w:tc>
          <w:tcPr>
            <w:tcW w:type="dxa" w:w="456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Scoring integrado con el desarrollo de modernización</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Control de línea</w:t>
            </w:r>
          </w:p>
        </w:tc>
        <w:tc>
          <w:tcPr>
            <w:tcW w:type="dxa" w:w="357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se controla al seleccionar</w:t>
            </w:r>
          </w:p>
        </w:tc>
        <w:tc>
          <w:tcPr>
            <w:tcW w:type="dxa" w:w="456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controla el disponible al seleccionar</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Propuesta al cliente</w:t>
            </w:r>
          </w:p>
        </w:tc>
        <w:tc>
          <w:tcPr>
            <w:tcW w:type="dxa" w:w="357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Preliquidación que el cliente aprueba</w:t>
            </w:r>
          </w:p>
        </w:tc>
        <w:tc>
          <w:tcPr>
            <w:tcW w:type="dxa" w:w="456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Simulación con la tasa de descuento precargada</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Intervención de Riesgos</w:t>
            </w:r>
          </w:p>
        </w:tc>
        <w:tc>
          <w:tcPr>
            <w:tcW w:type="dxa" w:w="357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Revisa todos los cheques pendientes</w:t>
            </w:r>
          </w:p>
        </w:tc>
        <w:tc>
          <w:tcPr>
            <w:tcW w:type="dxa" w:w="456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los eCheqs que se quieren forzar fuera del scoring</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Desembolso</w:t>
            </w:r>
          </w:p>
        </w:tc>
        <w:tc>
          <w:tcPr>
            <w:tcW w:type="dxa" w:w="357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Sin definir</w:t>
            </w:r>
          </w:p>
        </w:tc>
        <w:tc>
          <w:tcPr>
            <w:tcW w:type="dxa" w:w="456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Acuerdo marco y cuenta parametrizada por Activas la primera vez; después, automático</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Recibos</w:t>
            </w:r>
          </w:p>
        </w:tc>
        <w:tc>
          <w:tcPr>
            <w:tcW w:type="dxa" w:w="357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Sin definir</w:t>
            </w:r>
          </w:p>
        </w:tc>
        <w:tc>
          <w:tcPr>
            <w:tcW w:type="dxa" w:w="456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Descarga desde la pantalla de operación finalizada</w:t>
            </w:r>
          </w:p>
        </w:tc>
      </w:tr>
    </w:tbl>
    <w:p>
      <w:pPr>
        <w:spacing w:after="120"/>
      </w:pPr>
    </w:p>
    <w:p>
      <w:pPr>
        <w:spacing w:after="120"/>
        <w:jc w:val="both"/>
      </w:pPr>
      <w:r>
        <w:rPr>
          <w:rFonts w:ascii="Calibri" w:cs="Calibri" w:eastAsia="Calibri" w:hAnsi="Calibri"/>
          <w:sz w:val="21"/>
          <w:szCs w:val="21"/>
        </w:rPr>
        <w:t xml:space="preserve">La operación también toma el costo de fondeo según su plazo máximo. El scoring depende del desarrollo de modernización, con cuyo equipo hay que definir la integración.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Una pantalla que trae los vencimientos de las operaciones para anticiparse a ellos y, en el caso de los descubiertos, renovarlos desde el mismo lugar.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9"/>
        <w:gridCol w:w="7169"/>
      </w:tblGrid>
      <w:tr>
        <w:trPr>
          <w:cantSplit/>
          <w:tblHeader/>
        </w:trPr>
        <w:tc>
          <w:tcPr>
            <w:tcW w:type="dxa" w:w="246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Funcionalidad</w:t>
            </w:r>
          </w:p>
        </w:tc>
        <w:tc>
          <w:tcPr>
            <w:tcW w:type="dxa" w:w="716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Detalle</w:t>
            </w:r>
          </w:p>
        </w:tc>
      </w:tr>
      <w:tr>
        <w:trPr>
          <w:cantSplit/>
          <w:tblHeader w:val="false"/>
        </w:trPr>
        <w:tc>
          <w:tcPr>
            <w:tcW w:type="dxa" w:w="246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Plazo a traer</w:t>
            </w:r>
          </w:p>
        </w:tc>
        <w:tc>
          <w:tcPr>
            <w:tcW w:type="dxa" w:w="716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Configurable por el usuario (desde / hasta); por defecto, los vencimientos de las próximas dos semanas</w:t>
            </w:r>
          </w:p>
        </w:tc>
      </w:tr>
      <w:tr>
        <w:trPr>
          <w:cantSplit/>
          <w:tblHeader w:val="false"/>
        </w:trPr>
        <w:tc>
          <w:tcPr>
            <w:tcW w:type="dxa" w:w="246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incluidas</w:t>
            </w:r>
          </w:p>
        </w:tc>
        <w:tc>
          <w:tcPr>
            <w:tcW w:type="dxa" w:w="716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Préstamos (cuotas), descubiertos, cheques y prefinanciaciones</w:t>
            </w:r>
          </w:p>
        </w:tc>
      </w:tr>
      <w:tr>
        <w:trPr>
          <w:cantSplit/>
          <w:tblHeader w:val="false"/>
        </w:trPr>
        <w:tc>
          <w:tcPr>
            <w:tcW w:type="dxa" w:w="246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Estado de la cuota</w:t>
            </w:r>
          </w:p>
        </w:tc>
        <w:tc>
          <w:tcPr>
            <w:tcW w:type="dxa" w:w="716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Pagada, pendiente o vencida</w:t>
            </w:r>
          </w:p>
        </w:tc>
      </w:tr>
      <w:tr>
        <w:trPr>
          <w:cantSplit/>
          <w:tblHeader w:val="false"/>
        </w:trPr>
        <w:tc>
          <w:tcPr>
            <w:tcW w:type="dxa" w:w="246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Recibos de operaciones cobradas</w:t>
            </w:r>
          </w:p>
        </w:tc>
        <w:tc>
          <w:tcPr>
            <w:tcW w:type="dxa" w:w="716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Descarga de los recibos; se habilita solo cuando la operación (por ejemplo, el préstamo) fue efectivamente cobrada</w:t>
            </w:r>
          </w:p>
        </w:tc>
      </w:tr>
      <w:tr>
        <w:trPr>
          <w:cantSplit/>
          <w:tblHeader w:val="false"/>
        </w:trPr>
        <w:tc>
          <w:tcPr>
            <w:tcW w:type="dxa" w:w="246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Filtros y exportación</w:t>
            </w:r>
          </w:p>
        </w:tc>
        <w:tc>
          <w:tcPr>
            <w:tcW w:type="dxa" w:w="716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Por cliente, CUIT, grupo económico, oficial y tipo de operación; exportación a Excel</w:t>
            </w:r>
          </w:p>
        </w:tc>
      </w:tr>
      <w:tr>
        <w:trPr>
          <w:cantSplit/>
          <w:tblHeader w:val="false"/>
        </w:trPr>
        <w:tc>
          <w:tcPr>
            <w:tcW w:type="dxa" w:w="246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Renovación de descubiertos</w:t>
            </w:r>
          </w:p>
        </w:tc>
        <w:tc>
          <w:tcPr>
            <w:tcW w:type="dxa" w:w="716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Desde esta pantalla se puede renovar un descubierto que vence</w:t>
            </w:r>
          </w:p>
        </w:tc>
      </w:tr>
    </w:tbl>
    <w:p>
      <w:pPr>
        <w:spacing w:after="120"/>
      </w:pPr>
    </w:p>
    <w:p>
      <w:pPr>
        <w:spacing w:after="120"/>
        <w:jc w:val="both"/>
      </w:pPr>
      <w:r>
        <w:rPr>
          <w:rFonts w:ascii="Calibri" w:cs="Calibri" w:eastAsia="Calibri" w:hAnsi="Calibri"/>
          <w:b/>
          <w:bCs/>
          <w:sz w:val="21"/>
          <w:szCs w:val="21"/>
        </w:rPr>
        <w:t xml:space="preserve">Renovación de descubiertos</w:t>
      </w:r>
    </w:p>
    <w:p>
      <w:pPr>
        <w:spacing w:after="120"/>
        <w:jc w:val="both"/>
      </w:pPr>
      <w:r>
        <w:rPr>
          <w:rFonts w:ascii="Calibri" w:cs="Calibri" w:eastAsia="Calibri" w:hAnsi="Calibri"/>
          <w:sz w:val="21"/>
          <w:szCs w:val="21"/>
        </w:rPr>
        <w:t xml:space="preserve">La renovación se distingue de una operación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1"/>
        <w:gridCol w:w="4901"/>
        <w:gridCol w:w="2886"/>
      </w:tblGrid>
      <w:tr>
        <w:trPr>
          <w:cantSplit/>
          <w:tblHeader/>
        </w:trPr>
        <w:tc>
          <w:tcPr>
            <w:tcW w:type="dxa" w:w="1851"/>
            <w:shd w:fill="2E7D8C" w:color="auto" w:val="clear"/>
            <w:tcMar>
              <w:top w:type="dxa" w:w="60"/>
              <w:left w:type="dxa" w:w="100"/>
              <w:bottom w:type="dxa" w:w="60"/>
              <w:right w:type="dxa" w:w="100"/>
            </w:tcMar>
          </w:tcPr>
          <w:p>
            <w:pPr>
              <w:spacing w:after="0"/>
            </w:pPr>
          </w:p>
        </w:tc>
        <w:tc>
          <w:tcPr>
            <w:tcW w:type="dxa" w:w="4901"/>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Renovación</w:t>
            </w:r>
          </w:p>
        </w:tc>
        <w:tc>
          <w:tcPr>
            <w:tcW w:type="dxa" w:w="288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Operación nueva</w:t>
            </w:r>
          </w:p>
        </w:tc>
      </w:tr>
      <w:tr>
        <w:trPr>
          <w:cantSplit/>
          <w:tblHeader w:val="false"/>
        </w:trPr>
        <w:tc>
          <w:tcPr>
            <w:tcW w:type="dxa" w:w="1851"/>
            <w:tcMar>
              <w:top w:type="dxa" w:w="60"/>
              <w:left w:type="dxa" w:w="100"/>
              <w:bottom w:type="dxa" w:w="60"/>
              <w:right w:type="dxa" w:w="100"/>
            </w:tcMar>
          </w:tcPr>
          <w:p>
            <w:pPr>
              <w:spacing w:after="0"/>
            </w:pPr>
            <w:r>
              <w:rPr>
                <w:rFonts w:ascii="Calibri" w:cs="Calibri" w:eastAsia="Calibri" w:hAnsi="Calibri"/>
                <w:b/>
                <w:bCs/>
                <w:sz w:val="18"/>
                <w:szCs w:val="18"/>
              </w:rPr>
              <w:t xml:space="preserve">¿Se puede cursar con otra vigente?</w:t>
            </w:r>
          </w:p>
        </w:tc>
        <w:tc>
          <w:tcPr>
            <w:tcW w:type="dxa" w:w="4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Sí: se permite cursar la nueva estando la anterior vigente</w:t>
            </w:r>
          </w:p>
        </w:tc>
        <w:tc>
          <w:tcPr>
            <w:tcW w:type="dxa" w:w="288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si hay otra vigente del mismo tipo de descubierto</w:t>
            </w:r>
          </w:p>
        </w:tc>
      </w:tr>
      <w:tr>
        <w:trPr>
          <w:cantSplit/>
          <w:tblHeader w:val="false"/>
        </w:trPr>
        <w:tc>
          <w:tcPr>
            <w:tcW w:type="dxa" w:w="1851"/>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Qué hace el sistema</w:t>
            </w:r>
          </w:p>
        </w:tc>
        <w:tc>
          <w:tcPr>
            <w:tcW w:type="dxa" w:w="490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Considera el vencimiento y la forma de liquidación de intereses de la anterior; da de baja la anterior y activa la nueva</w:t>
            </w:r>
          </w:p>
        </w:tc>
        <w:tc>
          <w:tcPr>
            <w:tcW w:type="dxa" w:w="288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Alta normal con todas las validaciones del Módulo F</w:t>
            </w:r>
          </w:p>
        </w:tc>
      </w:tr>
      <w:tr>
        <w:trPr>
          <w:cantSplit/>
          <w:tblHeader w:val="false"/>
        </w:trPr>
        <w:tc>
          <w:tcPr>
            <w:tcW w:type="dxa" w:w="1851"/>
            <w:tcMar>
              <w:top w:type="dxa" w:w="60"/>
              <w:left w:type="dxa" w:w="100"/>
              <w:bottom w:type="dxa" w:w="60"/>
              <w:right w:type="dxa" w:w="100"/>
            </w:tcMar>
          </w:tcPr>
          <w:p>
            <w:pPr>
              <w:spacing w:after="0"/>
            </w:pPr>
            <w:r>
              <w:rPr>
                <w:rFonts w:ascii="Calibri" w:cs="Calibri" w:eastAsia="Calibri" w:hAnsi="Calibri"/>
                <w:b/>
                <w:bCs/>
                <w:sz w:val="18"/>
                <w:szCs w:val="18"/>
              </w:rPr>
              <w:t xml:space="preserve">¿Pasa por Riesgos?</w:t>
            </w:r>
          </w:p>
        </w:tc>
        <w:tc>
          <w:tcPr>
            <w:tcW w:type="dxa" w:w="490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ya está aprobada con la línea</w:t>
            </w:r>
          </w:p>
        </w:tc>
        <w:tc>
          <w:tcPr>
            <w:tcW w:type="dxa" w:w="288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si falla alguna validación</w:t>
            </w:r>
          </w:p>
        </w:tc>
      </w:tr>
    </w:tbl>
    <w:p>
      <w:pPr>
        <w:spacing w:after="120"/>
      </w:pPr>
    </w:p>
    <w:p>
      <w:pPr>
        <w:spacing w:after="120"/>
        <w:jc w:val="both"/>
      </w:pPr>
      <w:r>
        <w:rPr>
          <w:rFonts w:ascii="Calibri" w:cs="Calibri" w:eastAsia="Calibri" w:hAnsi="Calibri"/>
          <w:sz w:val="21"/>
          <w:szCs w:val="21"/>
        </w:rPr>
        <w:t xml:space="preserve">El usuario elige el tipo de renovación que está realizando: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5"/>
        <w:gridCol w:w="3332"/>
        <w:gridCol w:w="5121"/>
      </w:tblGrid>
      <w:tr>
        <w:trPr>
          <w:cantSplit/>
          <w:tblHeader/>
        </w:trPr>
        <w:tc>
          <w:tcPr>
            <w:tcW w:type="dxa" w:w="1185"/>
            <w:shd w:fill="2E7D8C" w:color="auto" w:val="clear"/>
            <w:tcMar>
              <w:top w:type="dxa" w:w="60"/>
              <w:left w:type="dxa" w:w="100"/>
              <w:bottom w:type="dxa" w:w="60"/>
              <w:right w:type="dxa" w:w="100"/>
            </w:tcMar>
          </w:tcPr>
          <w:p>
            <w:pPr>
              <w:spacing w:after="0"/>
            </w:pPr>
          </w:p>
        </w:tc>
        <w:tc>
          <w:tcPr>
            <w:tcW w:type="dxa" w:w="333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Renovación total</w:t>
            </w:r>
          </w:p>
        </w:tc>
        <w:tc>
          <w:tcPr>
            <w:tcW w:type="dxa" w:w="5121"/>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Renovación con cambio de importe</w:t>
            </w:r>
          </w:p>
        </w:tc>
      </w:tr>
      <w:tr>
        <w:trPr>
          <w:cantSplit/>
          <w:tblHeader w:val="false"/>
        </w:trPr>
        <w:tc>
          <w:tcPr>
            <w:tcW w:type="dxa" w:w="1185"/>
            <w:tcMar>
              <w:top w:type="dxa" w:w="60"/>
              <w:left w:type="dxa" w:w="100"/>
              <w:bottom w:type="dxa" w:w="60"/>
              <w:right w:type="dxa" w:w="100"/>
            </w:tcMar>
          </w:tcPr>
          <w:p>
            <w:pPr>
              <w:spacing w:after="0"/>
            </w:pPr>
            <w:r>
              <w:rPr>
                <w:rFonts w:ascii="Calibri" w:cs="Calibri" w:eastAsia="Calibri" w:hAnsi="Calibri"/>
                <w:b/>
                <w:bCs/>
                <w:sz w:val="18"/>
                <w:szCs w:val="18"/>
              </w:rPr>
              <w:t xml:space="preserve">Qué es</w:t>
            </w:r>
          </w:p>
        </w:tc>
        <w:tc>
          <w:tcPr>
            <w:tcW w:type="dxa" w:w="333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renueva por el mismo importe</w:t>
            </w:r>
          </w:p>
        </w:tc>
        <w:tc>
          <w:tcPr>
            <w:tcW w:type="dxa" w:w="512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renueva por un importe distinto al de la anterior</w:t>
            </w:r>
          </w:p>
        </w:tc>
      </w:tr>
      <w:tr>
        <w:trPr>
          <w:cantSplit/>
          <w:tblHeader w:val="false"/>
        </w:trPr>
        <w:tc>
          <w:tcPr>
            <w:tcW w:type="dxa" w:w="118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Importe menor</w:t>
            </w:r>
          </w:p>
        </w:tc>
        <w:tc>
          <w:tcPr>
            <w:tcW w:type="dxa" w:w="333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aplica</w:t>
            </w:r>
          </w:p>
        </w:tc>
        <w:tc>
          <w:tcPr>
            <w:tcW w:type="dxa" w:w="512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renueva por el nuevo importe, sin control adicional de línea</w:t>
            </w:r>
          </w:p>
        </w:tc>
      </w:tr>
      <w:tr>
        <w:trPr>
          <w:cantSplit/>
          <w:tblHeader w:val="false"/>
        </w:trPr>
        <w:tc>
          <w:tcPr>
            <w:tcW w:type="dxa" w:w="1185"/>
            <w:tcMar>
              <w:top w:type="dxa" w:w="60"/>
              <w:left w:type="dxa" w:w="100"/>
              <w:bottom w:type="dxa" w:w="60"/>
              <w:right w:type="dxa" w:w="100"/>
            </w:tcMar>
          </w:tcPr>
          <w:p>
            <w:pPr>
              <w:spacing w:after="0"/>
            </w:pPr>
            <w:r>
              <w:rPr>
                <w:rFonts w:ascii="Calibri" w:cs="Calibri" w:eastAsia="Calibri" w:hAnsi="Calibri"/>
                <w:b/>
                <w:bCs/>
                <w:sz w:val="18"/>
                <w:szCs w:val="18"/>
              </w:rPr>
              <w:t xml:space="preserve">Importe superior</w:t>
            </w:r>
          </w:p>
        </w:tc>
        <w:tc>
          <w:tcPr>
            <w:tcW w:type="dxa" w:w="333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aplica</w:t>
            </w:r>
          </w:p>
        </w:tc>
        <w:tc>
          <w:tcPr>
            <w:tcW w:type="dxa" w:w="512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sistema controla que haya línea disponible para la diferencia en dos momentos: al cargar la renovación y al adjudicarla</w:t>
            </w:r>
          </w:p>
        </w:tc>
      </w:tr>
      <w:tr>
        <w:trPr>
          <w:cantSplit/>
          <w:tblHeader w:val="false"/>
        </w:trPr>
        <w:tc>
          <w:tcPr>
            <w:tcW w:type="dxa" w:w="1185"/>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Costo de fondeo</w:t>
            </w:r>
          </w:p>
        </w:tc>
        <w:tc>
          <w:tcPr>
            <w:tcW w:type="dxa" w:w="333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asocia según el plazo máximo de la operación renovada</w:t>
            </w:r>
          </w:p>
        </w:tc>
        <w:tc>
          <w:tcPr>
            <w:tcW w:type="dxa" w:w="5121"/>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Ídem</w:t>
            </w:r>
          </w:p>
        </w:tc>
      </w:tr>
      <w:tr>
        <w:trPr>
          <w:cantSplit/>
          <w:tblHeader w:val="false"/>
        </w:trPr>
        <w:tc>
          <w:tcPr>
            <w:tcW w:type="dxa" w:w="1185"/>
            <w:tcMar>
              <w:top w:type="dxa" w:w="60"/>
              <w:left w:type="dxa" w:w="100"/>
              <w:bottom w:type="dxa" w:w="60"/>
              <w:right w:type="dxa" w:w="100"/>
            </w:tcMar>
          </w:tcPr>
          <w:p>
            <w:pPr>
              <w:spacing w:after="0"/>
            </w:pPr>
            <w:r>
              <w:rPr>
                <w:rFonts w:ascii="Calibri" w:cs="Calibri" w:eastAsia="Calibri" w:hAnsi="Calibri"/>
                <w:b/>
                <w:bCs/>
                <w:sz w:val="18"/>
                <w:szCs w:val="18"/>
              </w:rPr>
              <w:t xml:space="preserve">Controles</w:t>
            </w:r>
          </w:p>
        </w:tc>
        <w:tc>
          <w:tcPr>
            <w:tcW w:type="dxa" w:w="333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 vigente y tasa mínima</w:t>
            </w:r>
          </w:p>
        </w:tc>
        <w:tc>
          <w:tcPr>
            <w:tcW w:type="dxa" w:w="5121"/>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 vigente, tasa mínima y, si el importe es superior, línea disponible en la carga y en la adjudicación</w:t>
            </w:r>
          </w:p>
        </w:tc>
      </w:tr>
    </w:tbl>
    <w:p>
      <w:pPr>
        <w:spacing w:after="120"/>
      </w:pPr>
    </w:p>
    <w:p>
      <w:pPr>
        <w:spacing w:after="120"/>
        <w:jc w:val="both"/>
      </w:pPr>
      <w:r>
        <w:rPr>
          <w:rFonts w:ascii="Calibri" w:cs="Calibri" w:eastAsia="Calibri" w:hAnsi="Calibri"/>
          <w:sz w:val="21"/>
          <w:szCs w:val="21"/>
        </w:rPr>
        <w:t xml:space="preserve">Se controla dos veces porque entre la carga y la adjudicación pueden cursarse otras operaciones del mismo grupo económico que consuman la línea.</w:t>
      </w:r>
    </w:p>
    <w:p>
      <w:pPr>
        <w:spacing w:after="120"/>
        <w:jc w:val="both"/>
      </w:pPr>
      <w:r>
        <w:rPr>
          <w:rFonts w:ascii="Calibri" w:cs="Calibri" w:eastAsia="Calibri" w:hAnsi="Calibri"/>
          <w:sz w:val="21"/>
          <w:szCs w:val="21"/>
        </w:rPr>
        <w:t xml:space="preserve">Ejemplo con montos ficticios: un cliente tiene un acuerdo de $100 millones que vence el viernes y una línea con $30 millones disponibles. El miércoles, en la pantalla de vencimientos, Middle Office carga una renovación con cambio de importe por $120 millones y el sistema verifica que la diferencia de $20 millones entre en el disponible. El viernes, al adjudicar, lo vuelve a verificar; si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b/>
          <w:bCs/>
          <w:sz w:val="21"/>
          <w:szCs w:val="21"/>
        </w:rPr>
        <w:t xml:space="preserve">Objetivo.</w:t>
      </w:r>
      <w:r>
        <w:rPr>
          <w:rFonts w:ascii="Calibri" w:cs="Calibri" w:eastAsia="Calibri" w:hAnsi="Calibri"/>
          <w:sz w:val="21"/>
          <w:szCs w:val="21"/>
        </w:rPr>
        <w:t xml:space="preserve"> Dar visibilidad del circuito sin pedir información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14"/>
        <w:gridCol w:w="6152"/>
        <w:gridCol w:w="1572"/>
      </w:tblGrid>
      <w:tr>
        <w:trPr>
          <w:cantSplit/>
          <w:tblHeader/>
        </w:trPr>
        <w:tc>
          <w:tcPr>
            <w:tcW w:type="dxa" w:w="191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Funcionalidad</w:t>
            </w:r>
          </w:p>
        </w:tc>
        <w:tc>
          <w:tcPr>
            <w:tcW w:type="dxa" w:w="615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Detalle</w:t>
            </w:r>
          </w:p>
        </w:tc>
        <w:tc>
          <w:tcPr>
            <w:tcW w:type="dxa" w:w="157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Usuario</w:t>
            </w:r>
          </w:p>
        </w:tc>
      </w:tr>
      <w:tr>
        <w:trPr>
          <w:cantSplit/>
          <w:tblHeader w:val="false"/>
        </w:trPr>
        <w:tc>
          <w:tcPr>
            <w:tcW w:type="dxa" w:w="1914"/>
            <w:tcMar>
              <w:top w:type="dxa" w:w="60"/>
              <w:left w:type="dxa" w:w="100"/>
              <w:bottom w:type="dxa" w:w="60"/>
              <w:right w:type="dxa" w:w="100"/>
            </w:tcMar>
          </w:tcPr>
          <w:p>
            <w:pPr>
              <w:spacing w:after="0"/>
            </w:pPr>
            <w:r>
              <w:rPr>
                <w:rFonts w:ascii="Calibri" w:cs="Calibri" w:eastAsia="Calibri" w:hAnsi="Calibri"/>
                <w:b/>
                <w:bCs/>
                <w:sz w:val="18"/>
                <w:szCs w:val="18"/>
              </w:rPr>
              <w:t xml:space="preserve">Acuerdos ruteados por día</w:t>
            </w:r>
          </w:p>
        </w:tc>
        <w:tc>
          <w:tcPr>
            <w:tcW w:type="dxa" w:w="615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Acuerdos cargados en el día con su estado: cargado, en Riesgos, pendiente de garantía, aprobado, dado de alta, rechazado</w:t>
            </w:r>
          </w:p>
        </w:tc>
        <w:tc>
          <w:tcPr>
            <w:tcW w:type="dxa" w:w="157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 y Riesgos</w:t>
            </w:r>
          </w:p>
        </w:tc>
      </w:tr>
      <w:tr>
        <w:trPr>
          <w:cantSplit/>
          <w:tblHeader w:val="false"/>
        </w:trPr>
        <w:tc>
          <w:tcPr>
            <w:tcW w:type="dxa" w:w="191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Filtros</w:t>
            </w:r>
          </w:p>
        </w:tc>
        <w:tc>
          <w:tcPr>
            <w:tcW w:type="dxa" w:w="615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Por cliente, CUIT o grupo económico (y por fecha y estado, propuesto)</w:t>
            </w:r>
          </w:p>
        </w:tc>
        <w:tc>
          <w:tcPr>
            <w:tcW w:type="dxa" w:w="157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Todos</w:t>
            </w:r>
          </w:p>
        </w:tc>
      </w:tr>
      <w:tr>
        <w:trPr>
          <w:cantSplit/>
          <w:tblHeader w:val="false"/>
        </w:trPr>
        <w:tc>
          <w:tcPr>
            <w:tcW w:type="dxa" w:w="1914"/>
            <w:tcMar>
              <w:top w:type="dxa" w:w="60"/>
              <w:left w:type="dxa" w:w="100"/>
              <w:bottom w:type="dxa" w:w="60"/>
              <w:right w:type="dxa" w:w="100"/>
            </w:tcMar>
          </w:tcPr>
          <w:p>
            <w:pPr>
              <w:spacing w:after="0"/>
            </w:pPr>
            <w:r>
              <w:rPr>
                <w:rFonts w:ascii="Calibri" w:cs="Calibri" w:eastAsia="Calibri" w:hAnsi="Calibri"/>
                <w:b/>
                <w:bCs/>
                <w:sz w:val="18"/>
                <w:szCs w:val="18"/>
              </w:rPr>
              <w:t xml:space="preserve">Exportar</w:t>
            </w:r>
          </w:p>
        </w:tc>
        <w:tc>
          <w:tcPr>
            <w:tcW w:type="dxa" w:w="615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Extraer la vista como reporte en Excel</w:t>
            </w:r>
          </w:p>
        </w:tc>
        <w:tc>
          <w:tcPr>
            <w:tcW w:type="dxa" w:w="157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Todos</w:t>
            </w:r>
          </w:p>
        </w:tc>
      </w:tr>
      <w:tr>
        <w:trPr>
          <w:cantSplit/>
          <w:tblHeader w:val="false"/>
        </w:trPr>
        <w:tc>
          <w:tcPr>
            <w:tcW w:type="dxa" w:w="191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Minutas (propuesto)</w:t>
            </w:r>
          </w:p>
        </w:tc>
        <w:tc>
          <w:tcPr>
            <w:tcW w:type="dxa" w:w="615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Minutas por estado y acciones automáticas pendientes o con error</w:t>
            </w:r>
          </w:p>
        </w:tc>
        <w:tc>
          <w:tcPr>
            <w:tcW w:type="dxa" w:w="157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Riesgos</w:t>
            </w:r>
          </w:p>
        </w:tc>
      </w:tr>
      <w:tr>
        <w:trPr>
          <w:cantSplit/>
          <w:tblHeader w:val="false"/>
        </w:trPr>
        <w:tc>
          <w:tcPr>
            <w:tcW w:type="dxa" w:w="1914"/>
            <w:tcMar>
              <w:top w:type="dxa" w:w="60"/>
              <w:left w:type="dxa" w:w="100"/>
              <w:bottom w:type="dxa" w:w="60"/>
              <w:right w:type="dxa" w:w="100"/>
            </w:tcMar>
          </w:tcPr>
          <w:p>
            <w:pPr>
              <w:spacing w:after="0"/>
            </w:pPr>
            <w:r>
              <w:rPr>
                <w:rFonts w:ascii="Calibri" w:cs="Calibri" w:eastAsia="Calibri" w:hAnsi="Calibri"/>
                <w:b/>
                <w:bCs/>
                <w:sz w:val="18"/>
                <w:szCs w:val="18"/>
              </w:rPr>
              <w:t xml:space="preserve">Consumo de línea (propuesto)</w:t>
            </w:r>
          </w:p>
        </w:tc>
        <w:tc>
          <w:tcPr>
            <w:tcW w:type="dxa" w:w="615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Línea aprobada, consumida y disponible por grupo económico</w:t>
            </w:r>
          </w:p>
        </w:tc>
        <w:tc>
          <w:tcPr>
            <w:tcW w:type="dxa" w:w="157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Riesgos y Comercial</w:t>
            </w:r>
          </w:p>
        </w:tc>
      </w:tr>
      <w:tr>
        <w:trPr>
          <w:cantSplit/>
          <w:tblHeader w:val="false"/>
        </w:trPr>
        <w:tc>
          <w:tcPr>
            <w:tcW w:type="dxa" w:w="191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Costo de fondeo (propuesto)</w:t>
            </w:r>
          </w:p>
        </w:tc>
        <w:tc>
          <w:tcPr>
            <w:tcW w:type="dxa" w:w="615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con su costo de fondeo asociado y su tasa</w:t>
            </w:r>
          </w:p>
        </w:tc>
        <w:tc>
          <w:tcPr>
            <w:tcW w:type="dxa" w:w="157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Mesa y Gerencia</w:t>
            </w:r>
          </w:p>
        </w:tc>
      </w:tr>
    </w:tbl>
    <w:p>
      <w:pPr>
        <w:spacing w:after="120"/>
      </w:pPr>
    </w:p>
    <w:p>
      <w:pPr>
        <w:pStyle w:val="Heading1"/>
        <w:pageBreakBefore/>
      </w:pPr>
      <w:r>
        <w:rPr>
          <w:rFonts w:ascii="Calibri" w:cs="Calibri" w:eastAsia="Calibri" w:hAnsi="Calibri"/>
        </w:rPr>
        <w:t xml:space="preserve">7. Reglas de negocio, roles y permisos</w:t>
      </w:r>
    </w:p>
    <w:p>
      <w:pPr>
        <w:spacing w:after="120"/>
        <w:jc w:val="both"/>
      </w:pPr>
      <w:r>
        <w:rPr>
          <w:rFonts w:ascii="Calibri" w:cs="Calibri" w:eastAsia="Calibri" w:hAnsi="Calibri"/>
          <w:sz w:val="21"/>
          <w:szCs w:val="21"/>
        </w:rPr>
        <w:t xml:space="preserve">El sistema debe asegurar las siguientes reglas; cada una reemplaza un control que hoy es manual o no existe.</w:t>
      </w:r>
    </w:p>
    <w:p>
      <w:pPr>
        <w:pStyle w:val="Heading2"/>
      </w:pPr>
      <w:r>
        <w:rPr>
          <w:rFonts w:ascii="Calibri" w:cs="Calibri" w:eastAsia="Calibri" w:hAnsi="Calibri"/>
        </w:rPr>
        <w:t xml:space="preserve">Reglas de negocio y controles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9"/>
        <w:gridCol w:w="1915"/>
        <w:gridCol w:w="5744"/>
      </w:tblGrid>
      <w:tr>
        <w:trPr>
          <w:cantSplit/>
          <w:tblHeader/>
        </w:trPr>
        <w:tc>
          <w:tcPr>
            <w:tcW w:type="dxa" w:w="197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Regla</w:t>
            </w:r>
          </w:p>
        </w:tc>
        <w:tc>
          <w:tcPr>
            <w:tcW w:type="dxa" w:w="191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Dónde aplica</w:t>
            </w:r>
          </w:p>
        </w:tc>
        <w:tc>
          <w:tcPr>
            <w:tcW w:type="dxa" w:w="574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Comportamiento esperado</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Datos obligatorios de la minuta</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Minuta</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se puede aprobar sin oficial y CUIT</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Aprobación igual a acción</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Minuta</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aprobación dispara las acciones automáticas; si alguna falla, queda pendiente y visible</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Aprobador comercial</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Minuta y línea</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determina según el oficial de la minuta</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Instancia de aprobación</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Minuta</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Subcomité: hasta USD 1.000.000, corporativas hasta $1.000 millones o líneas de ALyC; el resto, comité</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Garantías de la línea</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Subproductos</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los subproductos que requieren garantía quedan pendientes hasta el OK de Activas (salvo forzado por gerente de Riesgos o CEO, con regularización); los demás se impactan con la aprobación del comité</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Garantías de la operación</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Operación</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Alta condicionada al OK de Activas sobre la garantía cargada</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Línea y fraccionamiento</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suma de operaciones del grupo no supera la línea aprobada y ningún grupo supera el 15% de la RPC del banco</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Costo de fondeo</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y renovación</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Cada operación queda asociada al costo de fondeo del plazo máximo otorgado</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Tasa mínima</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Todas las operaciones</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tasa es superior a la tasa mínima cargada por Mesa</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Origen de la operación</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líneas</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Toda operación se inicia desde una línea vigente; las renovaciones, desde vencimientos</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Selección por nombre</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de préstamos</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operación se elige por su nombre, no por código</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Orden de consumo</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Acuerdos de descubierto</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Primero full numerales (C1 a C5), luego sin full numerales (C6 a C9); rango a confirmar</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Unicidad</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Operación nueva de descubierto</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No puede haber otra vigente del mismo tipo</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Renovación</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Operación renovada</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Baja de la anterior y alta de la nueva sin pasar por Riesgos</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Tipo de renovación</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Operación renovada</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Total o con cambio de importe; si el importe es superior, controla línea disponible al cargar y al adjudicar</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Scoring de cheques</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Descuento de cheques</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 aceptan los cheques aprobados por scoring o por Riesgos; se rechazan los demás</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Tasa de descuento</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Descuento de cheques</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Sin tasa precargada no se puede simular</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Acuerdo marco</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Descuento de cheques</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Activas lo aprueba una sola vez; después el desembolso es automático</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Vencimientos</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vencimientos</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Por defecto trae las próximas dos semanas; el plazo es configurable</w:t>
            </w:r>
          </w:p>
        </w:tc>
      </w:tr>
      <w:tr>
        <w:trPr>
          <w:cantSplit/>
          <w:tblHeader w:val="false"/>
        </w:trPr>
        <w:tc>
          <w:tcPr>
            <w:tcW w:type="dxa" w:w="1979"/>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Recibos</w:t>
            </w:r>
          </w:p>
        </w:tc>
        <w:tc>
          <w:tcPr>
            <w:tcW w:type="dxa" w:w="191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vencimientos</w:t>
            </w:r>
          </w:p>
        </w:tc>
        <w:tc>
          <w:tcPr>
            <w:tcW w:type="dxa" w:w="574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Solo se descargan de operaciones efectivamente cobradas</w:t>
            </w:r>
          </w:p>
        </w:tc>
      </w:tr>
      <w:tr>
        <w:trPr>
          <w:cantSplit/>
          <w:tblHeader w:val="false"/>
        </w:trPr>
        <w:tc>
          <w:tcPr>
            <w:tcW w:type="dxa" w:w="1979"/>
            <w:tcMar>
              <w:top w:type="dxa" w:w="60"/>
              <w:left w:type="dxa" w:w="100"/>
              <w:bottom w:type="dxa" w:w="60"/>
              <w:right w:type="dxa" w:w="100"/>
            </w:tcMar>
          </w:tcPr>
          <w:p>
            <w:pPr>
              <w:spacing w:after="0"/>
            </w:pPr>
            <w:r>
              <w:rPr>
                <w:rFonts w:ascii="Calibri" w:cs="Calibri" w:eastAsia="Calibri" w:hAnsi="Calibri"/>
                <w:b/>
                <w:bCs/>
                <w:sz w:val="18"/>
                <w:szCs w:val="18"/>
              </w:rPr>
              <w:t xml:space="preserve">Auditoría</w:t>
            </w:r>
          </w:p>
        </w:tc>
        <w:tc>
          <w:tcPr>
            <w:tcW w:type="dxa" w:w="191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Todo el circuito</w:t>
            </w:r>
          </w:p>
        </w:tc>
        <w:tc>
          <w:tcPr>
            <w:tcW w:type="dxa" w:w="574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Cada aprobación, forzado y cambio de tasa queda registrado con usuario y fecha</w:t>
            </w:r>
          </w:p>
        </w:tc>
      </w:tr>
    </w:tbl>
    <w:p>
      <w:pPr>
        <w:spacing w:after="120"/>
      </w:pPr>
    </w:p>
    <w:p>
      <w:pPr>
        <w:pStyle w:val="Heading2"/>
      </w:pPr>
      <w:r>
        <w:rPr>
          <w:rFonts w:ascii="Calibri" w:cs="Calibri" w:eastAsia="Calibri" w:hAnsi="Calibri"/>
        </w:rPr>
        <w:t xml:space="preserve">Roles y permisos</w:t>
      </w:r>
    </w:p>
    <w:p>
      <w:pPr>
        <w:spacing w:after="120"/>
        <w:jc w:val="both"/>
      </w:pPr>
      <w:r>
        <w:rPr>
          <w:rFonts w:ascii="Calibri" w:cs="Calibri" w:eastAsia="Calibri" w:hAnsi="Calibri"/>
          <w:sz w:val="21"/>
          <w:szCs w:val="21"/>
        </w:rPr>
        <w:t xml:space="preserve">Matriz propuesta para validar con las áreas (● responsable, ○ participa o consulta).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962"/>
        <w:gridCol w:w="962"/>
        <w:gridCol w:w="962"/>
        <w:gridCol w:w="962"/>
        <w:gridCol w:w="962"/>
        <w:gridCol w:w="962"/>
        <w:gridCol w:w="966"/>
      </w:tblGrid>
      <w:tr>
        <w:trPr>
          <w:cantSplit/>
          <w:tblHeader/>
        </w:trPr>
        <w:tc>
          <w:tcPr>
            <w:tcW w:type="dxa" w:w="29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w:t>
            </w:r>
          </w:p>
        </w:tc>
        <w:tc>
          <w:tcPr>
            <w:tcW w:type="dxa" w:w="96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Middle Office</w:t>
            </w:r>
          </w:p>
        </w:tc>
        <w:tc>
          <w:tcPr>
            <w:tcW w:type="dxa" w:w="96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de Crédito</w:t>
            </w:r>
          </w:p>
        </w:tc>
        <w:tc>
          <w:tcPr>
            <w:tcW w:type="dxa" w:w="96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Gerente de Riesgos</w:t>
            </w:r>
          </w:p>
        </w:tc>
        <w:tc>
          <w:tcPr>
            <w:tcW w:type="dxa" w:w="96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CEO</w:t>
            </w:r>
          </w:p>
        </w:tc>
        <w:tc>
          <w:tcPr>
            <w:tcW w:type="dxa" w:w="96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Gerente comercial / oficial</w:t>
            </w:r>
          </w:p>
        </w:tc>
        <w:tc>
          <w:tcPr>
            <w:tcW w:type="dxa" w:w="96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Activas</w:t>
            </w:r>
          </w:p>
        </w:tc>
        <w:tc>
          <w:tcPr>
            <w:tcW w:type="dxa" w:w="96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Mesa</w:t>
            </w: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Crear y editar la minuta (borrador)</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Aprobar la minuta</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p>
        </w:tc>
        <w:tc>
          <w:tcPr>
            <w:tcW w:type="dxa" w:w="966"/>
            <w:shd w:fill="EAF2F5" w:color="auto" w:val="clear"/>
            <w:tcMar>
              <w:top w:type="dxa" w:w="60"/>
              <w:left w:type="dxa" w:w="100"/>
              <w:bottom w:type="dxa" w:w="60"/>
              <w:right w:type="dxa" w:w="100"/>
            </w:tcMar>
          </w:tcPr>
          <w:p>
            <w:pPr>
              <w:spacing w:after="0"/>
              <w:jc w:val="center"/>
            </w:pP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Firmar minuta del subcomité (DocuSign)</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Forzar alta con garantía pendiente</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6"/>
            <w:shd w:fill="EAF2F5" w:color="auto" w:val="clear"/>
            <w:tcMar>
              <w:top w:type="dxa" w:w="60"/>
              <w:left w:type="dxa" w:w="100"/>
              <w:bottom w:type="dxa" w:w="60"/>
              <w:right w:type="dxa" w:w="100"/>
            </w:tcMar>
          </w:tcPr>
          <w:p>
            <w:pPr>
              <w:spacing w:after="0"/>
              <w:jc w:val="center"/>
            </w:pP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OK de garantía</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Cargar costo de fondeo y tasas mínimas</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6"/>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Cargar préstamos y prefinanciaciones</w:t>
            </w: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Cargar descubiertos</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6"/>
            <w:shd w:fill="EAF2F5" w:color="auto" w:val="clear"/>
            <w:tcMar>
              <w:top w:type="dxa" w:w="60"/>
              <w:left w:type="dxa" w:w="100"/>
              <w:bottom w:type="dxa" w:w="60"/>
              <w:right w:type="dxa" w:w="100"/>
            </w:tcMar>
          </w:tcPr>
          <w:p>
            <w:pPr>
              <w:spacing w:after="0"/>
              <w:jc w:val="center"/>
            </w:pP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Renovar descubiertos</w:t>
            </w: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Revisar excepciones de operaciones</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6"/>
            <w:shd w:fill="EAF2F5" w:color="auto" w:val="clear"/>
            <w:tcMar>
              <w:top w:type="dxa" w:w="60"/>
              <w:left w:type="dxa" w:w="100"/>
              <w:bottom w:type="dxa" w:w="60"/>
              <w:right w:type="dxa" w:w="100"/>
            </w:tcMar>
          </w:tcPr>
          <w:p>
            <w:pPr>
              <w:spacing w:after="0"/>
              <w:jc w:val="center"/>
            </w:pP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Cargar descuento de cheques y simular</w:t>
            </w: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Aprobar cheques forzados fuera del scoring</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2"/>
            <w:shd w:fill="EAF2F5" w:color="auto" w:val="clear"/>
            <w:tcMar>
              <w:top w:type="dxa" w:w="60"/>
              <w:left w:type="dxa" w:w="100"/>
              <w:bottom w:type="dxa" w:w="60"/>
              <w:right w:type="dxa" w:w="100"/>
            </w:tcMar>
          </w:tcPr>
          <w:p>
            <w:pPr>
              <w:spacing w:after="0"/>
              <w:jc w:val="center"/>
            </w:pPr>
          </w:p>
        </w:tc>
        <w:tc>
          <w:tcPr>
            <w:tcW w:type="dxa" w:w="966"/>
            <w:shd w:fill="EAF2F5" w:color="auto" w:val="clear"/>
            <w:tcMar>
              <w:top w:type="dxa" w:w="60"/>
              <w:left w:type="dxa" w:w="100"/>
              <w:bottom w:type="dxa" w:w="60"/>
              <w:right w:type="dxa" w:w="100"/>
            </w:tcMar>
          </w:tcPr>
          <w:p>
            <w:pPr>
              <w:spacing w:after="0"/>
              <w:jc w:val="center"/>
            </w:pPr>
          </w:p>
        </w:tc>
      </w:tr>
      <w:tr>
        <w:trPr>
          <w:cantSplit/>
          <w:tblHeader w:val="false"/>
        </w:trPr>
        <w:tc>
          <w:tcPr>
            <w:tcW w:type="dxa" w:w="2900"/>
            <w:tcMar>
              <w:top w:type="dxa" w:w="60"/>
              <w:left w:type="dxa" w:w="100"/>
              <w:bottom w:type="dxa" w:w="60"/>
              <w:right w:type="dxa" w:w="100"/>
            </w:tcMar>
          </w:tcPr>
          <w:p>
            <w:pPr>
              <w:spacing w:after="0"/>
            </w:pPr>
            <w:r>
              <w:rPr>
                <w:rFonts w:ascii="Calibri" w:cs="Calibri" w:eastAsia="Calibri" w:hAnsi="Calibri"/>
                <w:b/>
                <w:bCs/>
                <w:sz w:val="18"/>
                <w:szCs w:val="18"/>
              </w:rPr>
              <w:t xml:space="preserve">Aprobar acuerdo marco de cheques</w:t>
            </w: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p>
        </w:tc>
        <w:tc>
          <w:tcPr>
            <w:tcW w:type="dxa" w:w="962"/>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6"/>
            <w:tcMar>
              <w:top w:type="dxa" w:w="60"/>
              <w:left w:type="dxa" w:w="100"/>
              <w:bottom w:type="dxa" w:w="60"/>
              <w:right w:type="dxa" w:w="100"/>
            </w:tcMar>
          </w:tcPr>
          <w:p>
            <w:pPr>
              <w:spacing w:after="0"/>
              <w:jc w:val="center"/>
            </w:pPr>
          </w:p>
        </w:tc>
      </w:tr>
      <w:tr>
        <w:trPr>
          <w:cantSplit/>
          <w:tblHeader w:val="false"/>
        </w:trPr>
        <w:tc>
          <w:tcPr>
            <w:tcW w:type="dxa" w:w="29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Consultar pantallas, seguimiento y reportes</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2"/>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c>
          <w:tcPr>
            <w:tcW w:type="dxa" w:w="966"/>
            <w:shd w:fill="EAF2F5" w:color="auto" w:val="clear"/>
            <w:tcMar>
              <w:top w:type="dxa" w:w="60"/>
              <w:left w:type="dxa" w:w="100"/>
              <w:bottom w:type="dxa" w:w="60"/>
              <w:right w:type="dxa" w:w="100"/>
            </w:tcMar>
          </w:tcPr>
          <w:p>
            <w:pPr>
              <w:spacing w:after="0"/>
              <w:jc w:val="center"/>
            </w:pPr>
            <w:r>
              <w:rPr>
                <w:rFonts w:ascii="Calibri" w:cs="Calibri" w:eastAsia="Calibri" w:hAnsi="Calibri"/>
                <w:b w:val="false"/>
                <w:bCs w:val="false"/>
                <w:sz w:val="18"/>
                <w:szCs w:val="18"/>
              </w:rPr>
              <w:t xml:space="preserve">○</w:t>
            </w:r>
          </w:p>
        </w:tc>
      </w:tr>
    </w:tbl>
    <w:p>
      <w:pPr>
        <w:spacing w:after="120"/>
      </w:pPr>
    </w:p>
    <w:p>
      <w:pPr>
        <w:spacing w:after="120"/>
        <w:jc w:val="both"/>
      </w:pPr>
      <w:r>
        <w:rPr>
          <w:rFonts w:ascii="Calibri" w:cs="Calibri" w:eastAsia="Calibri" w:hAnsi="Calibri"/>
          <w:sz w:val="21"/>
          <w:szCs w:val="21"/>
        </w:rPr>
        <w:t xml:space="preserve">Otros actores: Red BI (desarrollo en COBIS Web), Accusys (línea en USD ajustable en pesos), el equipo del desarrollo de modernización (scoring de cheques) y Sistemas / Operaciones, con Daniel Semino y Jonathan Domínguez a cargo del relevamiento, la coordinación y el seguimiento.</w:t>
      </w:r>
    </w:p>
    <w:p>
      <w:pPr>
        <w:pStyle w:val="Heading1"/>
        <w:pageBreakBefore/>
      </w:pPr>
      <w:r>
        <w:rPr>
          <w:rFonts w:ascii="Calibri" w:cs="Calibri" w:eastAsia="Calibri" w:hAnsi="Calibri"/>
        </w:rPr>
        <w:t xml:space="preserve">8. Beneficios, plan y próximos pasos</w:t>
      </w:r>
    </w:p>
    <w:p>
      <w:pPr>
        <w:spacing w:after="120"/>
        <w:jc w:val="both"/>
      </w:pPr>
      <w:r>
        <w:rPr>
          <w:rFonts w:ascii="Calibri" w:cs="Calibri" w:eastAsia="Calibri" w:hAnsi="Calibri"/>
          <w:sz w:val="21"/>
          <w:szCs w:val="21"/>
        </w:rPr>
        <w:t xml:space="preserve">El proyecto se propone en tres fases que empiezan por la línea y el costeo, porque sin línea cargada y sin costo de fondeo no se pueden cargar operaciones.</w:t>
      </w:r>
    </w:p>
    <w:p>
      <w:pPr>
        <w:pStyle w:val="Heading2"/>
      </w:pPr>
      <w:r>
        <w:rPr>
          <w:rFonts w:ascii="Calibri" w:cs="Calibri" w:eastAsia="Calibri" w:hAnsi="Calibri"/>
        </w:rPr>
        <w:t xml:space="preserve">Beneficios e indicadores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4"/>
        <w:gridCol w:w="4494"/>
        <w:gridCol w:w="3370"/>
      </w:tblGrid>
      <w:tr>
        <w:trPr>
          <w:cantSplit/>
          <w:tblHeader/>
        </w:trPr>
        <w:tc>
          <w:tcPr>
            <w:tcW w:type="dxa" w:w="177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Beneficio</w:t>
            </w:r>
          </w:p>
        </w:tc>
        <w:tc>
          <w:tcPr>
            <w:tcW w:type="dxa" w:w="4494"/>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Descripción</w:t>
            </w:r>
          </w:p>
        </w:tc>
        <w:tc>
          <w:tcPr>
            <w:tcW w:type="dxa" w:w="337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Indicador propuesto</w:t>
            </w:r>
          </w:p>
        </w:tc>
      </w:tr>
      <w:tr>
        <w:trPr>
          <w:cantSplit/>
          <w:tblHeader w:val="false"/>
        </w:trPr>
        <w:tc>
          <w:tcPr>
            <w:tcW w:type="dxa" w:w="1774"/>
            <w:tcMar>
              <w:top w:type="dxa" w:w="60"/>
              <w:left w:type="dxa" w:w="100"/>
              <w:bottom w:type="dxa" w:w="60"/>
              <w:right w:type="dxa" w:w="100"/>
            </w:tcMar>
          </w:tcPr>
          <w:p>
            <w:pPr>
              <w:spacing w:after="0"/>
            </w:pPr>
            <w:r>
              <w:rPr>
                <w:rFonts w:ascii="Calibri" w:cs="Calibri" w:eastAsia="Calibri" w:hAnsi="Calibri"/>
                <w:b/>
                <w:bCs/>
                <w:sz w:val="18"/>
                <w:szCs w:val="18"/>
              </w:rPr>
              <w:t xml:space="preserve">Menos tiempo de alta de líneas</w:t>
            </w:r>
          </w:p>
        </w:tc>
        <w:tc>
          <w:tcPr>
            <w:tcW w:type="dxa" w:w="449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 cinco pasos manuales a una aprobación con acciones automáticas</w:t>
            </w:r>
          </w:p>
        </w:tc>
        <w:tc>
          <w:tcPr>
            <w:tcW w:type="dxa" w:w="33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Horas entre la aprobación del comité y la línea activa</w:t>
            </w:r>
          </w:p>
        </w:tc>
      </w:tr>
      <w:tr>
        <w:trPr>
          <w:cantSplit/>
          <w:tblHeader w:val="false"/>
        </w:trPr>
        <w:tc>
          <w:tcPr>
            <w:tcW w:type="dxa" w:w="177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Menos errores de carga</w:t>
            </w:r>
          </w:p>
        </w:tc>
        <w:tc>
          <w:tcPr>
            <w:tcW w:type="dxa" w:w="449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línea sale de la misma minuta aprobada</w:t>
            </w:r>
          </w:p>
        </w:tc>
        <w:tc>
          <w:tcPr>
            <w:tcW w:type="dxa" w:w="337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Correcciones de líneas por mes</w:t>
            </w:r>
          </w:p>
        </w:tc>
      </w:tr>
      <w:tr>
        <w:trPr>
          <w:cantSplit/>
          <w:tblHeader w:val="false"/>
        </w:trPr>
        <w:tc>
          <w:tcPr>
            <w:tcW w:type="dxa" w:w="1774"/>
            <w:tcMar>
              <w:top w:type="dxa" w:w="60"/>
              <w:left w:type="dxa" w:w="100"/>
              <w:bottom w:type="dxa" w:w="60"/>
              <w:right w:type="dxa" w:w="100"/>
            </w:tcMar>
          </w:tcPr>
          <w:p>
            <w:pPr>
              <w:spacing w:after="0"/>
            </w:pPr>
            <w:r>
              <w:rPr>
                <w:rFonts w:ascii="Calibri" w:cs="Calibri" w:eastAsia="Calibri" w:hAnsi="Calibri"/>
                <w:b/>
                <w:bCs/>
                <w:sz w:val="18"/>
                <w:szCs w:val="18"/>
              </w:rPr>
              <w:t xml:space="preserve">Cumplimiento regulatorio</w:t>
            </w:r>
          </w:p>
        </w:tc>
        <w:tc>
          <w:tcPr>
            <w:tcW w:type="dxa" w:w="449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El 15% de la RPC se controla en cada operación</w:t>
            </w:r>
          </w:p>
        </w:tc>
        <w:tc>
          <w:tcPr>
            <w:tcW w:type="dxa" w:w="33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bloqueadas o en excepción por fraccionamiento</w:t>
            </w:r>
          </w:p>
        </w:tc>
      </w:tr>
      <w:tr>
        <w:trPr>
          <w:cantSplit/>
          <w:tblHeader w:val="false"/>
        </w:trPr>
        <w:tc>
          <w:tcPr>
            <w:tcW w:type="dxa" w:w="177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Precio correcto</w:t>
            </w:r>
          </w:p>
        </w:tc>
        <w:tc>
          <w:tcPr>
            <w:tcW w:type="dxa" w:w="449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Cada operación con su costo de fondeo y ninguna por debajo de la tasa mínima</w:t>
            </w:r>
          </w:p>
        </w:tc>
        <w:tc>
          <w:tcPr>
            <w:tcW w:type="dxa" w:w="337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con tasa por debajo de la mínima (meta: 0)</w:t>
            </w:r>
          </w:p>
        </w:tc>
      </w:tr>
      <w:tr>
        <w:trPr>
          <w:cantSplit/>
          <w:tblHeader w:val="false"/>
        </w:trPr>
        <w:tc>
          <w:tcPr>
            <w:tcW w:type="dxa" w:w="1774"/>
            <w:tcMar>
              <w:top w:type="dxa" w:w="60"/>
              <w:left w:type="dxa" w:w="100"/>
              <w:bottom w:type="dxa" w:w="60"/>
              <w:right w:type="dxa" w:w="100"/>
            </w:tcMar>
          </w:tcPr>
          <w:p>
            <w:pPr>
              <w:spacing w:after="0"/>
            </w:pPr>
            <w:r>
              <w:rPr>
                <w:rFonts w:ascii="Calibri" w:cs="Calibri" w:eastAsia="Calibri" w:hAnsi="Calibri"/>
                <w:b/>
                <w:bCs/>
                <w:sz w:val="18"/>
                <w:szCs w:val="18"/>
              </w:rPr>
              <w:t xml:space="preserve">Menos carga en Riesgos</w:t>
            </w:r>
          </w:p>
        </w:tc>
        <w:tc>
          <w:tcPr>
            <w:tcW w:type="dxa" w:w="449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Riesgos solo ve excepciones, incluidos los cheques forzados</w:t>
            </w:r>
          </w:p>
        </w:tc>
        <w:tc>
          <w:tcPr>
            <w:tcW w:type="dxa" w:w="33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Operaciones revisadas por Riesgos sobre el total</w:t>
            </w:r>
          </w:p>
        </w:tc>
      </w:tr>
      <w:tr>
        <w:trPr>
          <w:cantSplit/>
          <w:tblHeader w:val="false"/>
        </w:trPr>
        <w:tc>
          <w:tcPr>
            <w:tcW w:type="dxa" w:w="1774"/>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Agilidad en cheques</w:t>
            </w:r>
          </w:p>
        </w:tc>
        <w:tc>
          <w:tcPr>
            <w:tcW w:type="dxa" w:w="4494"/>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Scoring, simulación y desembolso automático tras el primer acuerdo marco</w:t>
            </w:r>
          </w:p>
        </w:tc>
        <w:tc>
          <w:tcPr>
            <w:tcW w:type="dxa" w:w="337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Tiempo desde el endoso hasta el desembolso</w:t>
            </w:r>
          </w:p>
        </w:tc>
      </w:tr>
      <w:tr>
        <w:trPr>
          <w:cantSplit/>
          <w:tblHeader w:val="false"/>
        </w:trPr>
        <w:tc>
          <w:tcPr>
            <w:tcW w:type="dxa" w:w="1774"/>
            <w:tcMar>
              <w:top w:type="dxa" w:w="60"/>
              <w:left w:type="dxa" w:w="100"/>
              <w:bottom w:type="dxa" w:w="60"/>
              <w:right w:type="dxa" w:w="100"/>
            </w:tcMar>
          </w:tcPr>
          <w:p>
            <w:pPr>
              <w:spacing w:after="0"/>
            </w:pPr>
            <w:r>
              <w:rPr>
                <w:rFonts w:ascii="Calibri" w:cs="Calibri" w:eastAsia="Calibri" w:hAnsi="Calibri"/>
                <w:b/>
                <w:bCs/>
                <w:sz w:val="18"/>
                <w:szCs w:val="18"/>
              </w:rPr>
              <w:t xml:space="preserve">Trazabilidad y auditoría</w:t>
            </w:r>
          </w:p>
        </w:tc>
        <w:tc>
          <w:tcPr>
            <w:tcW w:type="dxa" w:w="4494"/>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Historial de minutas, versiones, aprobaciones, forzados y cambios de tasa</w:t>
            </w:r>
          </w:p>
        </w:tc>
        <w:tc>
          <w:tcPr>
            <w:tcW w:type="dxa" w:w="337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Consultas de auditoría resueltas desde el sistema</w:t>
            </w:r>
          </w:p>
        </w:tc>
      </w:tr>
    </w:tbl>
    <w:p>
      <w:pPr>
        <w:spacing w:after="120"/>
      </w:pPr>
    </w:p>
    <w:p>
      <w:pPr>
        <w:pStyle w:val="Heading2"/>
      </w:pPr>
      <w:r>
        <w:rPr>
          <w:rFonts w:ascii="Calibri" w:cs="Calibri" w:eastAsia="Calibri" w:hAnsi="Calibri"/>
        </w:rPr>
        <w:t xml:space="preserve">Plan por fases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10"/>
        <w:gridCol w:w="2616"/>
        <w:gridCol w:w="3012"/>
      </w:tblGrid>
      <w:tr>
        <w:trPr>
          <w:cantSplit/>
          <w:tblHeader/>
        </w:trPr>
        <w:tc>
          <w:tcPr>
            <w:tcW w:type="dxa" w:w="15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Fase</w:t>
            </w:r>
          </w:p>
        </w:tc>
        <w:tc>
          <w:tcPr>
            <w:tcW w:type="dxa" w:w="251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Módulos</w:t>
            </w:r>
          </w:p>
        </w:tc>
        <w:tc>
          <w:tcPr>
            <w:tcW w:type="dxa" w:w="2616"/>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Entregables</w:t>
            </w:r>
          </w:p>
        </w:tc>
        <w:tc>
          <w:tcPr>
            <w:tcW w:type="dxa" w:w="301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Por qué en este orden</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Fase 1 · Minutas, líneas y costeo</w:t>
            </w:r>
          </w:p>
        </w:tc>
        <w:tc>
          <w:tcPr>
            <w:tcW w:type="dxa" w:w="25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 (minutas), B (alta de líneas), E (costeo)</w:t>
            </w:r>
          </w:p>
        </w:tc>
        <w:tc>
          <w:tcPr>
            <w:tcW w:type="dxa" w:w="261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minutas, aprobación con acciones automáticas, alta de líneas con garantías por subproducto y forzado, costo de fondeo y tasas mínimas</w:t>
            </w:r>
          </w:p>
        </w:tc>
        <w:tc>
          <w:tcPr>
            <w:tcW w:type="dxa" w:w="301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Es la base: sin línea cargada y sin costo de fondeo no se pueden cargar operaciones</w:t>
            </w:r>
          </w:p>
        </w:tc>
      </w:tr>
      <w:tr>
        <w:trPr>
          <w:cantSplit/>
          <w:tblHeader w:val="false"/>
        </w:trPr>
        <w:tc>
          <w:tcPr>
            <w:tcW w:type="dxa" w:w="15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Fase 2 · Operaciones</w:t>
            </w:r>
          </w:p>
        </w:tc>
        <w:tc>
          <w:tcPr>
            <w:tcW w:type="dxa" w:w="2510"/>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 (pantalla de líneas), F (descubiertos), I (vencimientos), J (seguimiento)</w:t>
            </w:r>
          </w:p>
        </w:tc>
        <w:tc>
          <w:tcPr>
            <w:tcW w:type="dxa" w:w="2616"/>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Pantalla de líneas como punto de entrada, carga guiada de descubiertos, vencimientos con renovación, seguimiento y reportes</w:t>
            </w:r>
          </w:p>
        </w:tc>
        <w:tc>
          <w:tcPr>
            <w:tcW w:type="dxa" w:w="301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Mayor volumen operativo; elimina el control manual de fraccionamiento</w:t>
            </w:r>
          </w:p>
        </w:tc>
      </w:tr>
      <w:tr>
        <w:trPr>
          <w:cantSplit/>
          <w:tblHeader w:val="false"/>
        </w:trPr>
        <w:tc>
          <w:tcPr>
            <w:tcW w:type="dxa" w:w="1500"/>
            <w:tcMar>
              <w:top w:type="dxa" w:w="60"/>
              <w:left w:type="dxa" w:w="100"/>
              <w:bottom w:type="dxa" w:w="60"/>
              <w:right w:type="dxa" w:w="100"/>
            </w:tcMar>
          </w:tcPr>
          <w:p>
            <w:pPr>
              <w:spacing w:after="0"/>
            </w:pPr>
            <w:r>
              <w:rPr>
                <w:rFonts w:ascii="Calibri" w:cs="Calibri" w:eastAsia="Calibri" w:hAnsi="Calibri"/>
                <w:b/>
                <w:bCs/>
                <w:sz w:val="18"/>
                <w:szCs w:val="18"/>
              </w:rPr>
              <w:t xml:space="preserve">Fase 3 · Complementos</w:t>
            </w:r>
          </w:p>
        </w:tc>
        <w:tc>
          <w:tcPr>
            <w:tcW w:type="dxa" w:w="25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G (préstamos), H (descuento de cheques), C (USD ajustable)</w:t>
            </w:r>
          </w:p>
        </w:tc>
        <w:tc>
          <w:tcPr>
            <w:tcW w:type="dxa" w:w="2616"/>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Carga de préstamos con tablas de amortización, descuento de cheques con scoring, línea USD ajustable</w:t>
            </w:r>
          </w:p>
        </w:tc>
        <w:tc>
          <w:tcPr>
            <w:tcW w:type="dxa" w:w="301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Requieren relevamiento adicional o definiciones externas (Accusys, desarrollo de modernización)</w:t>
            </w:r>
          </w:p>
        </w:tc>
      </w:tr>
    </w:tbl>
    <w:p>
      <w:pPr>
        <w:spacing w:after="120"/>
      </w:pPr>
    </w:p>
    <w:p>
      <w:pPr>
        <w:spacing w:after="120"/>
        <w:jc w:val="both"/>
      </w:pPr>
      <w:r>
        <w:rPr>
          <w:rFonts w:ascii="Calibri" w:cs="Calibri" w:eastAsia="Calibri" w:hAnsi="Calibri"/>
          <w:sz w:val="21"/>
          <w:szCs w:val="21"/>
        </w:rPr>
        <w:t xml:space="preserve">La división en fases es una propuesta para discusión; no surgió del relevamiento. Fechas y esfuerzos se estimarán con Red BI.</w:t>
      </w:r>
    </w:p>
    <w:p>
      <w:pPr>
        <w:pStyle w:val="Heading2"/>
      </w:pPr>
      <w:r>
        <w:rPr>
          <w:rFonts w:ascii="Calibri" w:cs="Calibri" w:eastAsia="Calibri" w:hAnsi="Calibri"/>
        </w:rPr>
        <w:t xml:space="preserve">Dependencias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7"/>
        <w:gridCol w:w="2439"/>
        <w:gridCol w:w="3832"/>
      </w:tblGrid>
      <w:tr>
        <w:trPr>
          <w:cantSplit/>
          <w:tblHeader/>
        </w:trPr>
        <w:tc>
          <w:tcPr>
            <w:tcW w:type="dxa" w:w="3367"/>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o dependencia</w:t>
            </w:r>
          </w:p>
        </w:tc>
        <w:tc>
          <w:tcPr>
            <w:tcW w:type="dxa" w:w="2439"/>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Impacto</w:t>
            </w:r>
          </w:p>
        </w:tc>
        <w:tc>
          <w:tcPr>
            <w:tcW w:type="dxa" w:w="3832"/>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Mitigación</w:t>
            </w:r>
          </w:p>
        </w:tc>
      </w:tr>
      <w:tr>
        <w:trPr>
          <w:cantSplit/>
          <w:tblHeader w:val="false"/>
        </w:trPr>
        <w:tc>
          <w:tcPr>
            <w:tcW w:type="dxa" w:w="3367"/>
            <w:tcMar>
              <w:top w:type="dxa" w:w="60"/>
              <w:left w:type="dxa" w:w="100"/>
              <w:bottom w:type="dxa" w:w="60"/>
              <w:right w:type="dxa" w:w="100"/>
            </w:tcMar>
          </w:tcPr>
          <w:p>
            <w:pPr>
              <w:spacing w:after="0"/>
            </w:pPr>
            <w:r>
              <w:rPr>
                <w:rFonts w:ascii="Calibri" w:cs="Calibri" w:eastAsia="Calibri" w:hAnsi="Calibri"/>
                <w:b/>
                <w:bCs/>
                <w:sz w:val="18"/>
                <w:szCs w:val="18"/>
              </w:rPr>
              <w:t xml:space="preserve">Capacidad y plazos de Red BI</w:t>
            </w:r>
          </w:p>
        </w:tc>
        <w:tc>
          <w:tcPr>
            <w:tcW w:type="dxa" w:w="243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Demora de todo el proyecto</w:t>
            </w:r>
          </w:p>
        </w:tc>
        <w:tc>
          <w:tcPr>
            <w:tcW w:type="dxa" w:w="383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Priorizar por fases y acordar un cronograma por módulo</w:t>
            </w:r>
          </w:p>
        </w:tc>
      </w:tr>
      <w:tr>
        <w:trPr>
          <w:cantSplit/>
          <w:tblHeader w:val="false"/>
        </w:trPr>
        <w:tc>
          <w:tcPr>
            <w:tcW w:type="dxa" w:w="3367"/>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Definición de Accusys sobre la línea USD</w:t>
            </w:r>
          </w:p>
        </w:tc>
        <w:tc>
          <w:tcPr>
            <w:tcW w:type="dxa" w:w="243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Bloquea el Módulo C</w:t>
            </w:r>
          </w:p>
        </w:tc>
        <w:tc>
          <w:tcPr>
            <w:tcW w:type="dxa" w:w="383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Consultar de inmediato; dejarlo para la fase 3</w:t>
            </w:r>
          </w:p>
        </w:tc>
      </w:tr>
      <w:tr>
        <w:trPr>
          <w:cantSplit/>
          <w:tblHeader w:val="false"/>
        </w:trPr>
        <w:tc>
          <w:tcPr>
            <w:tcW w:type="dxa" w:w="3367"/>
            <w:tcMar>
              <w:top w:type="dxa" w:w="60"/>
              <w:left w:type="dxa" w:w="100"/>
              <w:bottom w:type="dxa" w:w="60"/>
              <w:right w:type="dxa" w:w="100"/>
            </w:tcMar>
          </w:tcPr>
          <w:p>
            <w:pPr>
              <w:spacing w:after="0"/>
            </w:pPr>
            <w:r>
              <w:rPr>
                <w:rFonts w:ascii="Calibri" w:cs="Calibri" w:eastAsia="Calibri" w:hAnsi="Calibri"/>
                <w:b/>
                <w:bCs/>
                <w:sz w:val="18"/>
                <w:szCs w:val="18"/>
              </w:rPr>
              <w:t xml:space="preserve">Calidad de los grupos económicos en COBIS MIS</w:t>
            </w:r>
          </w:p>
        </w:tc>
        <w:tc>
          <w:tcPr>
            <w:tcW w:type="dxa" w:w="243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Controles de fraccionamiento incorrectos</w:t>
            </w:r>
          </w:p>
        </w:tc>
        <w:tc>
          <w:tcPr>
            <w:tcW w:type="dxa" w:w="383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Depurar los grupos antes de activar el control</w:t>
            </w:r>
          </w:p>
        </w:tc>
      </w:tr>
      <w:tr>
        <w:trPr>
          <w:cantSplit/>
          <w:tblHeader w:val="false"/>
        </w:trPr>
        <w:tc>
          <w:tcPr>
            <w:tcW w:type="dxa" w:w="3367"/>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Integración con el scoring del desarrollo de modernización</w:t>
            </w:r>
          </w:p>
        </w:tc>
        <w:tc>
          <w:tcPr>
            <w:tcW w:type="dxa" w:w="243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Bloquea la selección automática de cheques</w:t>
            </w:r>
          </w:p>
        </w:tc>
        <w:tc>
          <w:tcPr>
            <w:tcW w:type="dxa" w:w="383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Definir la integración con ese equipo antes de estimar el Módulo H</w:t>
            </w:r>
          </w:p>
        </w:tc>
      </w:tr>
      <w:tr>
        <w:trPr>
          <w:cantSplit/>
          <w:tblHeader w:val="false"/>
        </w:trPr>
        <w:tc>
          <w:tcPr>
            <w:tcW w:type="dxa" w:w="3367"/>
            <w:tcMar>
              <w:top w:type="dxa" w:w="60"/>
              <w:left w:type="dxa" w:w="100"/>
              <w:bottom w:type="dxa" w:w="60"/>
              <w:right w:type="dxa" w:w="100"/>
            </w:tcMar>
          </w:tcPr>
          <w:p>
            <w:pPr>
              <w:spacing w:after="0"/>
            </w:pPr>
            <w:r>
              <w:rPr>
                <w:rFonts w:ascii="Calibri" w:cs="Calibri" w:eastAsia="Calibri" w:hAnsi="Calibri"/>
                <w:b/>
                <w:bCs/>
                <w:sz w:val="18"/>
                <w:szCs w:val="18"/>
              </w:rPr>
              <w:t xml:space="preserve">Tiempo de respuesta de Activas</w:t>
            </w:r>
          </w:p>
        </w:tc>
        <w:tc>
          <w:tcPr>
            <w:tcW w:type="dxa" w:w="2439"/>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Subproductos pendientes de garantía</w:t>
            </w:r>
          </w:p>
        </w:tc>
        <w:tc>
          <w:tcPr>
            <w:tcW w:type="dxa" w:w="3832"/>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Forzado con regularización y alerta de pendientes</w:t>
            </w:r>
          </w:p>
        </w:tc>
      </w:tr>
      <w:tr>
        <w:trPr>
          <w:cantSplit/>
          <w:tblHeader w:val="false"/>
        </w:trPr>
        <w:tc>
          <w:tcPr>
            <w:tcW w:type="dxa" w:w="3367"/>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Cambio de hábito en los comités</w:t>
            </w:r>
          </w:p>
        </w:tc>
        <w:tc>
          <w:tcPr>
            <w:tcW w:type="dxa" w:w="2439"/>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La minuta se sigue armando por fuera</w:t>
            </w:r>
          </w:p>
        </w:tc>
        <w:tc>
          <w:tcPr>
            <w:tcW w:type="dxa" w:w="3832"/>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Definir que solo vale la minuta aprobada en el sistema</w:t>
            </w:r>
          </w:p>
        </w:tc>
      </w:tr>
    </w:tbl>
    <w:p>
      <w:pPr>
        <w:spacing w:after="120"/>
      </w:pPr>
    </w:p>
    <w:p>
      <w:pPr>
        <w:pStyle w:val="Heading2"/>
      </w:pPr>
      <w:r>
        <w:rPr>
          <w:rFonts w:ascii="Calibri" w:cs="Calibri" w:eastAsia="Calibri" w:hAnsi="Calibri"/>
        </w:rPr>
        <w:t xml:space="preserve">Puntos abiertos</w:t>
      </w:r>
    </w:p>
    <w:p>
      <w:pPr>
        <w:pStyle w:val="ListParagraph"/>
        <w:numPr>
          <w:ilvl w:val="0"/>
          <w:numId w:val="3"/>
        </w:numPr>
        <w:spacing w:after="60"/>
      </w:pPr>
      <w:r>
        <w:rPr>
          <w:rFonts w:ascii="Calibri" w:cs="Calibri" w:eastAsia="Calibri" w:hAnsi="Calibri"/>
          <w:sz w:val="21"/>
          <w:szCs w:val="21"/>
        </w:rPr>
        <w:t xml:space="preserve">Quién registra en el sistema la aprobación durante el comité (el borrador lo carga Riesgos).</w:t>
      </w:r>
    </w:p>
    <w:p>
      <w:pPr>
        <w:pStyle w:val="ListParagraph"/>
        <w:numPr>
          <w:ilvl w:val="0"/>
          <w:numId w:val="3"/>
        </w:numPr>
        <w:spacing w:after="60"/>
      </w:pPr>
      <w:r>
        <w:rPr>
          <w:rFonts w:ascii="Calibri" w:cs="Calibri" w:eastAsia="Calibri" w:hAnsi="Calibri"/>
          <w:sz w:val="21"/>
          <w:szCs w:val="21"/>
        </w:rPr>
        <w:t xml:space="preserve">Lista definitiva de acciones automáticas de la aprobación y qué pasa si una falla.</w:t>
      </w:r>
    </w:p>
    <w:p>
      <w:pPr>
        <w:pStyle w:val="ListParagraph"/>
        <w:numPr>
          <w:ilvl w:val="0"/>
          <w:numId w:val="3"/>
        </w:numPr>
        <w:spacing w:after="60"/>
      </w:pPr>
      <w:r>
        <w:rPr>
          <w:rFonts w:ascii="Calibri" w:cs="Calibri" w:eastAsia="Calibri" w:hAnsi="Calibri"/>
          <w:sz w:val="21"/>
          <w:szCs w:val="21"/>
        </w:rPr>
        <w:t xml:space="preserve">Circuito de carga de préstamos y de prefinanciaciones de exportaciones e importaciones desde la pantalla de líneas.</w:t>
      </w:r>
    </w:p>
    <w:p>
      <w:pPr>
        <w:pStyle w:val="ListParagraph"/>
        <w:numPr>
          <w:ilvl w:val="0"/>
          <w:numId w:val="3"/>
        </w:numPr>
        <w:spacing w:after="60"/>
      </w:pPr>
      <w:r>
        <w:rPr>
          <w:rFonts w:ascii="Calibri" w:cs="Calibri" w:eastAsia="Calibri" w:hAnsi="Calibri"/>
          <w:sz w:val="21"/>
          <w:szCs w:val="21"/>
        </w:rPr>
        <w:t xml:space="preserve">Tramos de plazo del costo de fondeo y si varían por moneda.</w:t>
      </w:r>
    </w:p>
    <w:p>
      <w:pPr>
        <w:pStyle w:val="ListParagraph"/>
        <w:numPr>
          <w:ilvl w:val="0"/>
          <w:numId w:val="3"/>
        </w:numPr>
        <w:spacing w:after="60"/>
      </w:pPr>
      <w:r>
        <w:rPr>
          <w:rFonts w:ascii="Calibri" w:cs="Calibri" w:eastAsia="Calibri" w:hAnsi="Calibri"/>
          <w:sz w:val="21"/>
          <w:szCs w:val="21"/>
        </w:rPr>
        <w:t xml:space="preserve">Si las tablas de amortización se generan desde las condiciones o se importan desde un archivo.</w:t>
      </w:r>
    </w:p>
    <w:p>
      <w:pPr>
        <w:pStyle w:val="ListParagraph"/>
        <w:numPr>
          <w:ilvl w:val="0"/>
          <w:numId w:val="3"/>
        </w:numPr>
        <w:spacing w:after="60"/>
      </w:pPr>
      <w:r>
        <w:rPr>
          <w:rFonts w:ascii="Calibri" w:cs="Calibri" w:eastAsia="Calibri" w:hAnsi="Calibri"/>
          <w:sz w:val="21"/>
          <w:szCs w:val="21"/>
        </w:rPr>
        <w:t xml:space="preserve">Quién carga y mantiene la tasa de descuento precargada de cheques (¿Mesa, en el Módulo E?).</w:t>
      </w:r>
    </w:p>
    <w:p>
      <w:pPr>
        <w:pStyle w:val="ListParagraph"/>
        <w:numPr>
          <w:ilvl w:val="0"/>
          <w:numId w:val="3"/>
        </w:numPr>
        <w:spacing w:after="60"/>
      </w:pPr>
      <w:r>
        <w:rPr>
          <w:rFonts w:ascii="Calibri" w:cs="Calibri" w:eastAsia="Calibri" w:hAnsi="Calibri"/>
          <w:sz w:val="21"/>
          <w:szCs w:val="21"/>
        </w:rPr>
        <w:t xml:space="preserve">Rango definitivo de acuerdos con y sin full numerales (C1 a C5 y C6 a C9 son un ejemplo).</w:t>
      </w:r>
    </w:p>
    <w:p>
      <w:pPr>
        <w:pStyle w:val="ListParagraph"/>
        <w:numPr>
          <w:ilvl w:val="0"/>
          <w:numId w:val="3"/>
        </w:numPr>
        <w:spacing w:after="60"/>
      </w:pPr>
      <w:r>
        <w:rPr>
          <w:rFonts w:ascii="Calibri" w:cs="Calibri" w:eastAsia="Calibri" w:hAnsi="Calibri"/>
          <w:sz w:val="21"/>
          <w:szCs w:val="21"/>
        </w:rPr>
        <w:t xml:space="preserve">Criterios y auditoría del forzado de alta por el gerente de Riesgos o el CEO.</w:t>
      </w:r>
    </w:p>
    <w:p>
      <w:pPr>
        <w:pStyle w:val="ListParagraph"/>
        <w:numPr>
          <w:ilvl w:val="0"/>
          <w:numId w:val="3"/>
        </w:numPr>
        <w:spacing w:after="60"/>
      </w:pPr>
      <w:r>
        <w:rPr>
          <w:rFonts w:ascii="Calibri" w:cs="Calibri" w:eastAsia="Calibri" w:hAnsi="Calibri"/>
          <w:sz w:val="21"/>
          <w:szCs w:val="21"/>
        </w:rPr>
        <w:t xml:space="preserve">Cálculo de la RPC usada en el control del 15% y su frecuencia de actualización.</w:t>
      </w:r>
    </w:p>
    <w:p>
      <w:pPr>
        <w:pStyle w:val="ListParagraph"/>
        <w:numPr>
          <w:ilvl w:val="0"/>
          <w:numId w:val="3"/>
        </w:numPr>
        <w:spacing w:after="60"/>
      </w:pPr>
      <w:r>
        <w:rPr>
          <w:rFonts w:ascii="Calibri" w:cs="Calibri" w:eastAsia="Calibri" w:hAnsi="Calibri"/>
          <w:sz w:val="21"/>
          <w:szCs w:val="21"/>
        </w:rPr>
        <w:t xml:space="preserve">Alcance de "todo lo que está en Trámites y Gestión pase por COBIS Web": confirmar si incluye otros productos.</w:t>
      </w:r>
    </w:p>
    <w:p>
      <w:pPr>
        <w:pStyle w:val="ListParagraph"/>
        <w:numPr>
          <w:ilvl w:val="0"/>
          <w:numId w:val="3"/>
        </w:numPr>
        <w:spacing w:after="60"/>
      </w:pPr>
      <w:r>
        <w:rPr>
          <w:rFonts w:ascii="Calibri" w:cs="Calibri" w:eastAsia="Calibri" w:hAnsi="Calibri"/>
          <w:sz w:val="21"/>
          <w:szCs w:val="21"/>
        </w:rPr>
        <w:t xml:space="preserve">Contrastar este informe con la transcripción de la reunión del 07/10, que hay que descargar desde Teams.</w:t>
      </w:r>
    </w:p>
    <w:p>
      <w:pPr>
        <w:pStyle w:val="Heading2"/>
      </w:pPr>
      <w:r>
        <w:rPr>
          <w:rFonts w:ascii="Calibri" w:cs="Calibri" w:eastAsia="Calibri" w:hAnsi="Calibri"/>
        </w:rPr>
        <w:t xml:space="preserve">Próximos pasos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965"/>
        <w:gridCol w:w="3073"/>
      </w:tblGrid>
      <w:tr>
        <w:trPr>
          <w:cantSplit/>
          <w:tblHeader/>
        </w:trPr>
        <w:tc>
          <w:tcPr>
            <w:tcW w:type="dxa" w:w="600"/>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w:t>
            </w:r>
          </w:p>
        </w:tc>
        <w:tc>
          <w:tcPr>
            <w:tcW w:type="dxa" w:w="5965"/>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w:t>
            </w:r>
          </w:p>
        </w:tc>
        <w:tc>
          <w:tcPr>
            <w:tcW w:type="dxa" w:w="3073"/>
            <w:shd w:fill="2E7D8C"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Responsable sugerido</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1</w:t>
            </w:r>
          </w:p>
        </w:tc>
        <w:tc>
          <w:tcPr>
            <w:tcW w:type="dxa" w:w="59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Validar este informe con Middle Office y Riesgos, incluida la transcripción del 07/10</w:t>
            </w:r>
          </w:p>
        </w:tc>
        <w:tc>
          <w:tcPr>
            <w:tcW w:type="dxa" w:w="30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Daniel Semino y Jonathan Domínguez</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2</w:t>
            </w:r>
          </w:p>
        </w:tc>
        <w:tc>
          <w:tcPr>
            <w:tcW w:type="dxa" w:w="59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Definir con Riesgos el diseño de la pantalla de minutas y la lista de acciones automáticas</w:t>
            </w:r>
          </w:p>
        </w:tc>
        <w:tc>
          <w:tcPr>
            <w:tcW w:type="dxa" w:w="30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Riesgos y Sistemas</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3</w:t>
            </w:r>
          </w:p>
        </w:tc>
        <w:tc>
          <w:tcPr>
            <w:tcW w:type="dxa" w:w="59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Cerrar los puntos abiertos</w:t>
            </w:r>
          </w:p>
        </w:tc>
        <w:tc>
          <w:tcPr>
            <w:tcW w:type="dxa" w:w="30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Middle Office, Riesgos, Mesa y Activas</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4</w:t>
            </w:r>
          </w:p>
        </w:tc>
        <w:tc>
          <w:tcPr>
            <w:tcW w:type="dxa" w:w="59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Definir con el equipo de modernización la integración del scoring de cheques</w:t>
            </w:r>
          </w:p>
        </w:tc>
        <w:tc>
          <w:tcPr>
            <w:tcW w:type="dxa" w:w="30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Sistemas</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5</w:t>
            </w:r>
          </w:p>
        </w:tc>
        <w:tc>
          <w:tcPr>
            <w:tcW w:type="dxa" w:w="59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Presentar el alcance a Red BI y pedir estimación por módulo</w:t>
            </w:r>
          </w:p>
        </w:tc>
        <w:tc>
          <w:tcPr>
            <w:tcW w:type="dxa" w:w="30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Sistemas</w:t>
            </w:r>
          </w:p>
        </w:tc>
      </w:tr>
      <w:tr>
        <w:trPr>
          <w:cantSplit/>
          <w:tblHeader w:val="false"/>
        </w:trPr>
        <w:tc>
          <w:tcPr>
            <w:tcW w:type="dxa" w:w="600"/>
            <w:shd w:fill="EAF2F5"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6</w:t>
            </w:r>
          </w:p>
        </w:tc>
        <w:tc>
          <w:tcPr>
            <w:tcW w:type="dxa" w:w="5965"/>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Consultar a Accusys por la línea en USD ajustable en pesos</w:t>
            </w:r>
          </w:p>
        </w:tc>
        <w:tc>
          <w:tcPr>
            <w:tcW w:type="dxa" w:w="3073"/>
            <w:shd w:fill="EAF2F5" w:color="auto" w:val="clear"/>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Sistemas</w:t>
            </w:r>
          </w:p>
        </w:tc>
      </w:tr>
      <w:tr>
        <w:trPr>
          <w:cantSplit/>
          <w:tblHeader w:val="false"/>
        </w:trPr>
        <w:tc>
          <w:tcPr>
            <w:tcW w:type="dxa" w:w="600"/>
            <w:tcMar>
              <w:top w:type="dxa" w:w="60"/>
              <w:left w:type="dxa" w:w="100"/>
              <w:bottom w:type="dxa" w:w="60"/>
              <w:right w:type="dxa" w:w="100"/>
            </w:tcMar>
          </w:tcPr>
          <w:p>
            <w:pPr>
              <w:spacing w:after="0"/>
            </w:pPr>
            <w:r>
              <w:rPr>
                <w:rFonts w:ascii="Calibri" w:cs="Calibri" w:eastAsia="Calibri" w:hAnsi="Calibri"/>
                <w:b/>
                <w:bCs/>
                <w:sz w:val="18"/>
                <w:szCs w:val="18"/>
              </w:rPr>
              <w:t xml:space="preserve">7</w:t>
            </w:r>
          </w:p>
        </w:tc>
        <w:tc>
          <w:tcPr>
            <w:tcW w:type="dxa" w:w="5965"/>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Acordar priorización por fases y cronograma</w:t>
            </w:r>
          </w:p>
        </w:tc>
        <w:tc>
          <w:tcPr>
            <w:tcW w:type="dxa" w:w="3073"/>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Gerencia de Operaciones, Comercial y Riesgos</w:t>
            </w:r>
          </w:p>
        </w:tc>
      </w:tr>
    </w:tbl>
    <w:p>
      <w:pPr>
        <w:spacing w:after="12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abstractNum w:abstractNumId="3" w15:restartNumberingAfterBreak="0">
    <w:multiLevelType w:val="hybridMultilevel"/>
    <w:lvl w:ilvl="0" w15:tentative="1">
      <w:start w:val="1"/>
      <w:numFmt w:val="decimal"/>
      <w:lvlText w:val="%1."/>
      <w:lvlJc w:val="left"/>
      <w:pPr>
        <w:ind w:left="500" w:hanging="300"/>
      </w:pPr>
      <w:rPr>
        <w:b/>
        <w:bCs/>
        <w:color w:val="2E7D8C"/>
      </w:rPr>
    </w:lvl>
  </w:abstractNum>
  <w:abstractNum w:abstractNumId="4" w15:restartNumberingAfterBreak="0">
    <w:multiLevelType w:val="hybridMultilevel"/>
    <w:lvl w:ilvl="0" w15:tentative="1">
      <w:start w:val="1"/>
      <w:numFmt w:val="decimal"/>
      <w:lvlText w:val="%1."/>
      <w:lvlJc w:val="left"/>
      <w:pPr>
        <w:ind w:left="500" w:hanging="300"/>
      </w:pPr>
      <w:rPr>
        <w:b/>
        <w:bCs/>
        <w:color w:val="2E7D8C"/>
      </w:rPr>
    </w:lvl>
  </w:abstractNum>
  <w:abstractNum w:abstractNumId="5" w15:restartNumberingAfterBreak="0">
    <w:multiLevelType w:val="hybridMultilevel"/>
    <w:lvl w:ilvl="0" w15:tentative="1">
      <w:start w:val="1"/>
      <w:numFmt w:val="decimal"/>
      <w:lvlText w:val="%1."/>
      <w:lvlJc w:val="left"/>
      <w:pPr>
        <w:ind w:left="500" w:hanging="300"/>
      </w:pPr>
      <w:rPr>
        <w:b/>
        <w:bCs/>
        <w:color w:val="2E7D8C"/>
      </w:rPr>
    </w:lvl>
  </w:abstractNum>
  <w:abstractNum w:abstractNumId="6" w15:restartNumberingAfterBreak="0">
    <w:multiLevelType w:val="hybridMultilevel"/>
    <w:lvl w:ilvl="0" w15:tentative="1">
      <w:start w:val="1"/>
      <w:numFmt w:val="decimal"/>
      <w:lvlText w:val="%1."/>
      <w:lvlJc w:val="left"/>
      <w:pPr>
        <w:ind w:left="500" w:hanging="300"/>
      </w:pPr>
      <w:rPr>
        <w:b/>
        <w:bCs/>
        <w:color w:val="2E7D8C"/>
      </w:rPr>
    </w:lvl>
  </w:abstractNum>
  <w:abstractNum w:abstractNumId="7" w15:restartNumberingAfterBreak="0">
    <w:multiLevelType w:val="hybridMultilevel"/>
    <w:lvl w:ilvl="0" w15:tentative="1">
      <w:start w:val="1"/>
      <w:numFmt w:val="decimal"/>
      <w:lvlText w:val="%1."/>
      <w:lvlJc w:val="left"/>
      <w:pPr>
        <w:ind w:left="500" w:hanging="300"/>
      </w:pPr>
      <w:rPr>
        <w:b/>
        <w:bCs/>
        <w:color w:val="2E7D8C"/>
      </w:rPr>
    </w:lvl>
  </w:abstractNum>
  <w:abstractNum w:abstractNumId="8" w15:restartNumberingAfterBreak="0">
    <w:multiLevelType w:val="hybridMultilevel"/>
    <w:lvl w:ilvl="0" w15:tentative="1">
      <w:start w:val="1"/>
      <w:numFmt w:val="decimal"/>
      <w:lvlText w:val="%1."/>
      <w:lvlJc w:val="left"/>
      <w:pPr>
        <w:ind w:left="500" w:hanging="300"/>
      </w:pPr>
      <w:rPr>
        <w:b/>
        <w:bCs/>
        <w:color w:val="2E7D8C"/>
      </w:rPr>
    </w:lvl>
  </w:abstractNum>
  <w:abstractNum w:abstractNumId="9" w15:restartNumberingAfterBreak="0">
    <w:multiLevelType w:val="hybridMultilevel"/>
    <w:lvl w:ilvl="0" w15:tentative="1">
      <w:start w:val="1"/>
      <w:numFmt w:val="decimal"/>
      <w:lvlText w:val="%1."/>
      <w:lvlJc w:val="left"/>
      <w:pPr>
        <w:ind w:left="500" w:hanging="300"/>
      </w:pPr>
      <w:rPr>
        <w:b/>
        <w:bCs/>
        <w:color w:val="2E7D8C"/>
      </w:rPr>
    </w:lvl>
  </w:abstractNum>
  <w:abstractNum w:abstractNumId="10" w15:restartNumberingAfterBreak="0">
    <w:multiLevelType w:val="hybridMultilevel"/>
    <w:lvl w:ilvl="0" w15:tentative="1">
      <w:start w:val="1"/>
      <w:numFmt w:val="decimal"/>
      <w:lvlText w:val="%1."/>
      <w:lvlJc w:val="left"/>
      <w:pPr>
        <w:ind w:left="500" w:hanging="300"/>
      </w:pPr>
      <w:rPr>
        <w:b/>
        <w:bCs/>
        <w:color w:val="2E7D8C"/>
      </w:rPr>
    </w:lvl>
  </w:abstractNum>
  <w:abstractNum w:abstractNumId="11" w15:restartNumberingAfterBreak="0">
    <w:multiLevelType w:val="hybridMultilevel"/>
    <w:lvl w:ilvl="0" w15:tentative="1">
      <w:start w:val="1"/>
      <w:numFmt w:val="decimal"/>
      <w:lvlText w:val="%1."/>
      <w:lvlJc w:val="left"/>
      <w:pPr>
        <w:ind w:left="500" w:hanging="300"/>
      </w:pPr>
      <w:rPr>
        <w:b/>
        <w:bCs/>
        <w:color w:val="2E7D8C"/>
      </w:rPr>
    </w:lvl>
  </w:abstractNum>
  <w:abstractNum w:abstractNumId="12" w15:restartNumberingAfterBreak="0">
    <w:multiLevelType w:val="hybridMultilevel"/>
    <w:lvl w:ilvl="0" w15:tentative="1">
      <w:start w:val="1"/>
      <w:numFmt w:val="decimal"/>
      <w:lvlText w:val="%1."/>
      <w:lvlJc w:val="left"/>
      <w:pPr>
        <w:ind w:left="500" w:hanging="300"/>
      </w:pPr>
      <w:rPr>
        <w:b/>
        <w:bCs/>
        <w:color w:val="2E7D8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2026-10-13T13:29:41.114Z</dcterms:created>
  <dcterms:modified xsi:type="dcterms:W3CDTF">2026-10-13T13:29:41.114Z</dcterms:modified>
</cp:coreProperties>
</file>

<file path=docProps/custom.xml><?xml version="1.0" encoding="utf-8"?>
<Properties xmlns="http://schemas.openxmlformats.org/officeDocument/2006/custom-properties" xmlns:vt="http://schemas.openxmlformats.org/officeDocument/2006/docPropsVTypes"/>
</file>