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19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Middle Office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spacing w:after="120"/>
        <w:jc w:val="both"/>
      </w:pPr>
      <w:r>
        <w:rPr>
          <w:rFonts w:ascii="Calibri" w:cs="Calibri" w:eastAsia="Calibri" w:hAnsi="Calibri"/>
          <w:sz w:val="21"/>
          <w:szCs w:val="21"/>
        </w:rPr>
        <w:t xml:space="preserve">A esto se suma un tablero de oficiales, relevado con los usuarios el 16 de octubre, que reúne en pantallas separadas la información actualizada de cada cliente y de toda la cartera: cheques contra COELSA, saldos y movimientos del día, fondos por ingresar, transferencias, detalle de descubiertos y alertas de vencimientos, embargos y oportunidades comerciales.</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9.</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dieciséis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Mathys,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la situación según el BCRA;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envía la minuta por mail a Middle Office, que realiza la carga de la línea a mano en COBIS Trámites. Luego, el analista de Riesgo de Crédito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garantizadas con avales no tienen un circuito propio: los avales, sus avalistas y sus vencimientos se gestionan por fuera y no siempre quedan registrados en las garantías de COBIS; el proyecto incorpora un circuito de avales que termina con su registro automático.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dieciséis módulos, identificados con las letras A a P, que se agrupan en tres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gestión de avales de las líneas garantizadas, también un requerimiento nuevo, que permite asociar uno o más avales a una línea, cada uno con su avalista y su vencimiento, y registrarlos en las garantías de COBIS. El módulo D es la pantalla de líneas, también un requerimiento nuevo, que muestra todas las líneas, es el punto de inicio de todas las operaciones y permite solicitar la ampliación de las líneas en dólares por actualización del tipo de cambio.</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 El módulo K, también nuevo, permite modificar las tablas de amortización de préstamos activos. </w:t>
      </w:r>
    </w:p>
    <w:p>
      <w:pPr>
        <w:spacing w:after="120"/>
        <w:jc w:val="both"/>
      </w:pPr>
      <w:r>
        <w:rPr>
          <w:rFonts w:ascii="Calibri" w:cs="Calibri" w:eastAsia="Calibri" w:hAnsi="Calibri"/>
          <w:sz w:val="21"/>
          <w:szCs w:val="21"/>
        </w:rPr>
        <w:t xml:space="preserve">El tercer bloque surge de la sesión "VALO | Discovery - Sesión Funcional" del 16 de octubre, en la que Red Bee relevó con los oficiales la necesidad de centralizar la información actualizada de los clientes para que oficiales y Middle Office consulten carteras, productos, saldos y eventos sin depender de COBIS ni de consultas manuales. Esas necesidades se ordenan en pantallas separadas que forman un tablero de oficiales: el módulo L muestra los cheques de cada cliente contra COELSA; el módulo M, la visión consolidada del cliente; el módulo N, los fondos entrantes y las transferencias; el módulo O, el detalle diario de los descubiertos y los acuerdos con fecha valor; y el módulo P, los eventos, las alertas y las oportunidades comerciales. Todas comparten un mismo criterio: cada pantalla ofrece una vista por cliente y una vista por funcionalidad para toda la cartera.</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Además, el sistema consulta Nosis y verifica que la situación del cliente sea 1. El oficial de la cuenta también es obligatorio, porque define qué gerente comercial interviene en la aprobación. Si el cliente ya tiene una línea, el sistema trae la línea presente desde COBIS. Riesgos completa la línea propuesta, con su monto, su moneda, sus subproductos y su plazo; el rating crediticio, la situación según el BCRA y la fecha de revisión; y las garantías, indicando qué subproductos las requieren, de qué tipo y si la línea se garantiza con avales.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el plazo, la fecha de vencimiento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garantiza con avales, envía a Middle Office la tarea de detallar los avales (módulo C).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Middle Office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Avales de las líneas garantizadas</w:t>
      </w:r>
    </w:p>
    <w:p>
      <w:pPr>
        <w:spacing w:after="120"/>
        <w:jc w:val="both"/>
      </w:pPr>
      <w:r>
        <w:rPr>
          <w:rFonts w:ascii="Calibri" w:cs="Calibri" w:eastAsia="Calibri" w:hAnsi="Calibri"/>
          <w:sz w:val="21"/>
          <w:szCs w:val="21"/>
        </w:rPr>
        <w:t xml:space="preserve">El objetivo de este módulo es que las líneas garantizadas con avales tengan un circuito propio dentro del sistema: desde la definición de los avales en la línea hasta su autorización por Activas y su registro en las garantías de COBIS.</w:t>
      </w:r>
    </w:p>
    <w:p>
      <w:pPr>
        <w:spacing w:after="120"/>
        <w:jc w:val="both"/>
      </w:pPr>
      <w:r>
        <w:rPr>
          <w:rFonts w:ascii="Calibri" w:cs="Calibri" w:eastAsia="Calibri" w:hAnsi="Calibri"/>
          <w:sz w:val="21"/>
          <w:szCs w:val="21"/>
        </w:rPr>
        <w:t xml:space="preserve">En la práctica, estos avales son fianzas generales que se otorgan para respaldar la línea. El circuito comienza en la línea. Cuando una línea es garantizada, se puede indicar que cuenta con avales. Esa información pasa a Middle Office, que detalla qué avales ingresan y con qué vencimientos. Una línea puede tener más de un aval, y cada aval tiene su propia fecha de vencimiento. Cada aval tiene además un avalista, que debe estar dado de alta en COBIS MIS; si no lo está, no se puede cargar el aval.</w:t>
      </w:r>
    </w:p>
    <w:p>
      <w:pPr>
        <w:spacing w:after="120"/>
        <w:jc w:val="both"/>
      </w:pPr>
      <w:r>
        <w:rPr>
          <w:rFonts w:ascii="Calibri" w:cs="Calibri" w:eastAsia="Calibri" w:hAnsi="Calibri"/>
          <w:sz w:val="21"/>
          <w:szCs w:val="21"/>
        </w:rPr>
        <w:t xml:space="preserve">Junto con cada aval, Middle Office adjunta en el sistema la fianza general que lo respalda. Estos documentos se guardan solo a modo informativo, para que estén disponibles para su consulta, y no reemplazan el circuito formal de garantías.</w:t>
      </w:r>
    </w:p>
    <w:p>
      <w:pPr>
        <w:spacing w:after="120"/>
        <w:jc w:val="both"/>
      </w:pPr>
      <w:r>
        <w:rPr>
          <w:rFonts w:ascii="Calibri" w:cs="Calibri" w:eastAsia="Calibri" w:hAnsi="Calibri"/>
          <w:sz w:val="21"/>
          <w:szCs w:val="21"/>
        </w:rPr>
        <w:t xml:space="preserve">Una vez completada la carga de Middle Office, los avales pasan a Activas para su autorización. La conformidad de Activas cumple dos funciones al mismo tiempo: deja en vigencia la línea, o los subproductos garantizados por esos avales, y registra automáticamente cada aval en las garantías de COBIS, con su avalista y su vencimiento. De esta manera, el aval queda registrado una sola vez y en el mismo acto en que se autoriza, sin cargas manuales posteriores.</w:t>
      </w:r>
    </w:p>
    <w:p>
      <w:pPr>
        <w:spacing w:after="120"/>
        <w:jc w:val="both"/>
      </w:pPr>
      <w:r>
        <w:rPr>
          <w:rFonts w:ascii="Calibri" w:cs="Calibri" w:eastAsia="Calibri" w:hAnsi="Calibri"/>
          <w:sz w:val="21"/>
          <w:szCs w:val="21"/>
        </w:rPr>
        <w:t xml:space="preserve">Como los avales tienen fecha de vencimiento, sus vencimientos quedan visibles en la pantalla de líneas, de modo que el banco pueda anticiparse a ellos y gestionar su renovación.</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los subproductos y su plazo,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la cantidad de días que le quedan disponibles a la línea hasta su vencimiento; el plazo permitido de cada sublímite, que puede ser distinto al de la línea, con una alerta unos 60 días antes de su vencimiento; el estado de cada subproducto, que puede estar activo, pendiente de garantía, forzado y pendiente de regularizar, vencido o por revisar; los avales de la línea, con su avalista y su vencimiento;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En las líneas en dólares, también se puede solicitar una ampliación por actualización del tipo de cambio. Además, se puede consultar la minuta aprobada, con sus versiones y las acciones ejecutadas, y filtrar y exportar la información por cliente, CUIT, grupo, oficial, producto, estado o vencimiento.</w:t>
      </w:r>
    </w:p>
    <w:p>
      <w:pPr>
        <w:pStyle w:val="Heading3"/>
      </w:pPr>
      <w:r>
        <w:rPr>
          <w:rFonts w:ascii="Calibri" w:cs="Calibri" w:eastAsia="Calibri" w:hAnsi="Calibri"/>
        </w:rPr>
        <w:t xml:space="preserve">Las operaciones de la línea</w:t>
      </w:r>
    </w:p>
    <w:p>
      <w:pPr>
        <w:spacing w:after="120"/>
        <w:jc w:val="both"/>
      </w:pPr>
      <w:r>
        <w:rPr>
          <w:rFonts w:ascii="Calibri" w:cs="Calibri" w:eastAsia="Calibri" w:hAnsi="Calibri"/>
          <w:sz w:val="21"/>
          <w:szCs w:val="21"/>
        </w:rPr>
        <w:t xml:space="preserve">Desde el monto disponible de cada línea, el usuario puede ver todas las operaciones que la consumen. La lista se ordena por vencimiento, desde la operación con el primer vencimiento hasta la más futura, de modo que se lea en el orden en que la línea se va liberando. De cada operación se muestran el tipo y el monto, la tasa de la operación, la tasa de fondeo asociada según su plazo máximo, la fecha de vencimiento final y el plazo de la operación. Así, en una sola vista se ve qué consume la línea, a qué tasa, con qué costo y hasta cuándo.</w:t>
      </w:r>
    </w:p>
    <w:p>
      <w:pPr>
        <w:pStyle w:val="Heading3"/>
      </w:pPr>
      <w:r>
        <w:rPr>
          <w:rFonts w:ascii="Calibri" w:cs="Calibri" w:eastAsia="Calibri" w:hAnsi="Calibri"/>
        </w:rPr>
        <w:t xml:space="preserve">Ampliación de líneas en dólares por tipo de cambio</w:t>
      </w:r>
    </w:p>
    <w:p>
      <w:pPr>
        <w:spacing w:after="120"/>
        <w:jc w:val="both"/>
      </w:pPr>
      <w:r>
        <w:rPr>
          <w:rFonts w:ascii="Calibri" w:cs="Calibri" w:eastAsia="Calibri" w:hAnsi="Calibri"/>
          <w:sz w:val="21"/>
          <w:szCs w:val="21"/>
        </w:rPr>
        <w:t xml:space="preserve">En reemplazo de una actualización automática de las líneas en dólares, la pantalla de líneas permite que Middle Office solicite una ampliación de la línea. Esta opción está disponible solo para líneas en dólares y solo bajo el concepto de actualización por tipo de cambio. Middle Office indica el incremento que solicita y el pedido pasa al gerente de Riesgos, que lo autoriza o lo rechaza. Con la autorización, la línea se amplía por el monto solicitado y la ampliación queda registrada con el pedido, el monto, el usuario que lo solicitó y el gerente que lo autorizó.</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K cubren todo lo que consume una línea activa y la gestión posterior de las operaciones.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a partir de las condiciones: el usuario elige el sistema de amortización y el sistema calcula las cuotas. No se importa desde ningún archivo. Solo cuando el préstamo tiene una estructura particular, que no responde a un sistema de amortización estándar, las cuotas se cargan a mano una por una.</w:t>
      </w:r>
    </w:p>
    <w:p>
      <w:pPr>
        <w:spacing w:after="120"/>
        <w:jc w:val="both"/>
      </w:pPr>
      <w:r>
        <w:rPr>
          <w:rFonts w:ascii="Calibri" w:cs="Calibri" w:eastAsia="Calibri" w:hAnsi="Calibri"/>
          <w:sz w:val="21"/>
          <w:szCs w:val="21"/>
        </w:rPr>
        <w:t xml:space="preserve">Antes del alta, el sistema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2"/>
      </w:pPr>
      <w:r>
        <w:rPr>
          <w:rFonts w:ascii="Calibri" w:cs="Calibri" w:eastAsia="Calibri" w:hAnsi="Calibri"/>
        </w:rPr>
        <w:t xml:space="preserve">Módulo K · Modificación de tablas de amortización</w:t>
      </w:r>
    </w:p>
    <w:p>
      <w:pPr>
        <w:spacing w:after="120"/>
        <w:jc w:val="both"/>
      </w:pPr>
      <w:r>
        <w:rPr>
          <w:rFonts w:ascii="Calibri" w:cs="Calibri" w:eastAsia="Calibri" w:hAnsi="Calibri"/>
          <w:sz w:val="21"/>
          <w:szCs w:val="21"/>
        </w:rPr>
        <w:t xml:space="preserve">El objetivo de este módulo es permitir modificar la estructura de un préstamo ya otorgado, es decir, su tabla de amortización, dentro del sistema y con un circuito de aprobación controlado.</w:t>
      </w:r>
    </w:p>
    <w:p>
      <w:pPr>
        <w:spacing w:after="120"/>
        <w:jc w:val="both"/>
      </w:pPr>
      <w:r>
        <w:rPr>
          <w:rFonts w:ascii="Calibri" w:cs="Calibri" w:eastAsia="Calibri" w:hAnsi="Calibri"/>
          <w:sz w:val="21"/>
          <w:szCs w:val="21"/>
        </w:rPr>
        <w:t xml:space="preserve">El módulo tiene validaciones estrictas sobre qué se puede modificar. Solo se pueden modificar préstamos que ya fueron liquidados y que están activos. Dentro de esos préstamos, la modificación solo puede recaer sobre las cuotas que todavía no fueron cobradas; las cuotas ya cobradas no se pueden alterar. Si el préstamo no cumple estas condiciones, el sistema no permite iniciar la modificación.</w:t>
      </w:r>
    </w:p>
    <w:p>
      <w:pPr>
        <w:spacing w:after="120"/>
        <w:jc w:val="both"/>
      </w:pPr>
      <w:r>
        <w:rPr>
          <w:rFonts w:ascii="Calibri" w:cs="Calibri" w:eastAsia="Calibri" w:hAnsi="Calibri"/>
          <w:sz w:val="21"/>
          <w:szCs w:val="21"/>
        </w:rPr>
        <w:t xml:space="preserve">Para solicitar el cambio, el usuario debe adjuntar la adenda que respalda la modificación; sin esa adenda, la solicitud no puede enviarse. Con la nueva estructura propuesta y la adenda adjunta, la solicitud pasa a Activas para su aprobación. Recién con la aprobación de Activas se hace efectivo el cambio de estructura del préstamo, y las nuevas cuotas se reflejan en la pantalla de vencimientos. Cada modificación queda registrada con la tabla anterior, la nueva, la adenda y quién la solicitó y aprobó.</w:t>
      </w:r>
    </w:p>
    <w:p>
      <w:pPr>
        <w:pStyle w:val="Heading1"/>
        <w:pageBreakBefore/>
      </w:pPr>
      <w:r>
        <w:rPr>
          <w:rFonts w:ascii="Calibri" w:cs="Calibri" w:eastAsia="Calibri" w:hAnsi="Calibri"/>
        </w:rPr>
        <w:t xml:space="preserve">7. Tablero de oficiales: pantallas surgidas del Discovery</w:t>
      </w:r>
    </w:p>
    <w:p>
      <w:pPr>
        <w:spacing w:after="120"/>
        <w:jc w:val="both"/>
      </w:pPr>
      <w:r>
        <w:rPr>
          <w:rFonts w:ascii="Calibri" w:cs="Calibri" w:eastAsia="Calibri" w:hAnsi="Calibri"/>
          <w:sz w:val="21"/>
          <w:szCs w:val="21"/>
        </w:rPr>
        <w:t xml:space="preserve">Los módulos L a P responden a lo relevado con los oficiales el 16 de octubre. El punto de partida es que hoy la información de los clientes existe en distintos lugares pero no está accesible de forma integrada, y que los tableros actuales se alimentan con datos del día anterior: para ver saldos y movimientos del día hay que entrar a COBIS. El objetivo es una capa de visualización con datos actuales que permita decidir con información y, más adelante, habilitar acciones sobre ella.</w:t>
      </w:r>
    </w:p>
    <w:p>
      <w:pPr>
        <w:pStyle w:val="Heading2"/>
      </w:pPr>
      <w:r>
        <w:rPr>
          <w:rFonts w:ascii="Calibri" w:cs="Calibri" w:eastAsia="Calibri" w:hAnsi="Calibri"/>
        </w:rPr>
        <w:t xml:space="preserve">Módulo L · Cheques por cliente (COELSA)</w:t>
      </w:r>
    </w:p>
    <w:p>
      <w:pPr>
        <w:spacing w:after="120"/>
        <w:jc w:val="both"/>
      </w:pPr>
      <w:r>
        <w:rPr>
          <w:rFonts w:ascii="Calibri" w:cs="Calibri" w:eastAsia="Calibri" w:hAnsi="Calibri"/>
          <w:sz w:val="21"/>
          <w:szCs w:val="21"/>
        </w:rPr>
        <w:t xml:space="preserve">El objetivo de este módulo es que el oficial y Middle Office vean en una pantalla propia la situación de los cheques de cada cliente, consultada contra COELSA, sin pedir información por otros canales. La pantalla muestra los cheques pendientes de cobro, es decir, los depositados que todavía no se acreditaron; los cheques que están en cámara; y los cheques emitidos o aceptados en COELSA. También señala, como oportunidad comercial, los cheques del cliente que podrían comprarse o descontarse a través del módulo H.</w:t>
      </w:r>
    </w:p>
    <w:p>
      <w:pPr>
        <w:spacing w:after="120"/>
        <w:jc w:val="both"/>
      </w:pPr>
      <w:r>
        <w:rPr>
          <w:rFonts w:ascii="Calibri" w:cs="Calibri" w:eastAsia="Calibri" w:hAnsi="Calibri"/>
          <w:sz w:val="21"/>
          <w:szCs w:val="21"/>
        </w:rPr>
        <w:t xml:space="preserve">La pantalla tiene dos vistas: una por cliente, a la que también se llega desde la pantalla de líneas y desde la visión consolidada, y otra para toda la cartera, por ejemplo con todos los cheques por acreditar de los clientes de un oficial. Esta información ayuda a decidir si se libera un pago, pero un cheque no acreditado no se considera cobrado ni libera fondos automáticamente.</w:t>
      </w:r>
    </w:p>
    <w:p>
      <w:pPr>
        <w:pStyle w:val="Heading2"/>
      </w:pPr>
      <w:r>
        <w:rPr>
          <w:rFonts w:ascii="Calibri" w:cs="Calibri" w:eastAsia="Calibri" w:hAnsi="Calibri"/>
        </w:rPr>
        <w:t xml:space="preserve">Módulo M · Visión consolidada del cliente</w:t>
      </w:r>
    </w:p>
    <w:p>
      <w:pPr>
        <w:spacing w:after="120"/>
        <w:jc w:val="both"/>
      </w:pPr>
      <w:r>
        <w:rPr>
          <w:rFonts w:ascii="Calibri" w:cs="Calibri" w:eastAsia="Calibri" w:hAnsi="Calibri"/>
          <w:sz w:val="21"/>
          <w:szCs w:val="21"/>
        </w:rPr>
        <w:t xml:space="preserve">El objetivo de este módulo es reunir toda la información del cliente en un solo lugar y con datos del día. La pantalla muestra las líneas aprobadas y sus sublímites, con el plazo permitido de cada uno; las operaciones vigentes, con su tipo, tasa, monto y vencimiento; las cuentas abiertas y sus firmantes; los saldos históricos e intradía y los movimientos del día; y el estado de las cuentas, incluidos los embargos y bloqueos.</w:t>
      </w:r>
    </w:p>
    <w:p>
      <w:pPr>
        <w:spacing w:after="120"/>
        <w:jc w:val="both"/>
      </w:pPr>
      <w:r>
        <w:rPr>
          <w:rFonts w:ascii="Calibri" w:cs="Calibri" w:eastAsia="Calibri" w:hAnsi="Calibri"/>
          <w:sz w:val="21"/>
          <w:szCs w:val="21"/>
        </w:rPr>
        <w:t xml:space="preserve">Incluye además el seguimiento de los desembolsos. Hoy Middle Office puede cargar un préstamo sin enterarse de que se desembolsó o de que se acreditaron los fondos, y tiene que preguntar. Con esta pantalla, cuando la operación se ejecuta, se ven el movimiento, la acreditación y el comprobante o resumen de la operación. El cliente se busca preferentemente por nombre, y también por CUIT, razón social o número de cuenta.</w:t>
      </w:r>
    </w:p>
    <w:p>
      <w:pPr>
        <w:pStyle w:val="Heading2"/>
      </w:pPr>
      <w:r>
        <w:rPr>
          <w:rFonts w:ascii="Calibri" w:cs="Calibri" w:eastAsia="Calibri" w:hAnsi="Calibri"/>
        </w:rPr>
        <w:t xml:space="preserve">Módulo N · Fondos entrantes y transferencias</w:t>
      </w:r>
    </w:p>
    <w:p>
      <w:pPr>
        <w:spacing w:after="120"/>
        <w:jc w:val="both"/>
      </w:pPr>
      <w:r>
        <w:rPr>
          <w:rFonts w:ascii="Calibri" w:cs="Calibri" w:eastAsia="Calibri" w:hAnsi="Calibri"/>
          <w:sz w:val="21"/>
          <w:szCs w:val="21"/>
        </w:rPr>
        <w:t xml:space="preserve">El objetivo de este módulo es dar visibilidad sobre lo que está por entrar y por salir, para operar un banco más transaccional. Hoy se pueden revisar desembolsos aislados, pero al decidir si se libera un pago hace falta ver no solo lo prestado y lo disponible, sino también los fondos que están por ingresar.</w:t>
      </w:r>
    </w:p>
    <w:p>
      <w:pPr>
        <w:spacing w:after="120"/>
        <w:jc w:val="both"/>
      </w:pPr>
      <w:r>
        <w:rPr>
          <w:rFonts w:ascii="Calibri" w:cs="Calibri" w:eastAsia="Calibri" w:hAnsi="Calibri"/>
          <w:sz w:val="21"/>
          <w:szCs w:val="21"/>
        </w:rPr>
        <w:t xml:space="preserve">La pantalla muestra las transferencias cargadas o pendientes de autorización en los dos home banking, con su cantidad, destino y monto, y en el detalle, el CBU y el concepto; también sus estados, como encolada, cancelada o rechazada con su motivo. Muestra los rescates de fondos pendientes, que se liquidan en T+1, y la fecha en que ingresarán los fondos, ya sea que se hayan cargado por Hirus o por Virtual Broker. Incluye las liquidaciones de Comercio Exterior y las operaciones de cambios concertadas por la Mesa que están pendientes de liquidación, además de los cheques depositados pendientes de acreditación.</w:t>
      </w:r>
    </w:p>
    <w:p>
      <w:pPr>
        <w:spacing w:after="120"/>
        <w:jc w:val="both"/>
      </w:pPr>
      <w:r>
        <w:rPr>
          <w:rFonts w:ascii="Calibri" w:cs="Calibri" w:eastAsia="Calibri" w:hAnsi="Calibri"/>
          <w:sz w:val="21"/>
          <w:szCs w:val="21"/>
        </w:rPr>
        <w:t xml:space="preserve">Lo pendiente se muestra para que quien aprueba decida con información, pero no se considera cobrado ni libera fondos de forma automática. La pantalla permite relacionar los ingresos con los pagos próximos, evitar llamadas al cliente y priorizar pedidos según caja y urgencia; los adelantos siguen sujetos a límites y autorizaciones.</w:t>
      </w:r>
    </w:p>
    <w:p>
      <w:pPr>
        <w:pStyle w:val="Heading2"/>
      </w:pPr>
      <w:r>
        <w:rPr>
          <w:rFonts w:ascii="Calibri" w:cs="Calibri" w:eastAsia="Calibri" w:hAnsi="Calibri"/>
        </w:rPr>
        <w:t xml:space="preserve">Módulo O · Descubiertos: detalle diario y fecha valor</w:t>
      </w:r>
    </w:p>
    <w:p>
      <w:pPr>
        <w:spacing w:after="120"/>
        <w:jc w:val="both"/>
      </w:pPr>
      <w:r>
        <w:rPr>
          <w:rFonts w:ascii="Calibri" w:cs="Calibri" w:eastAsia="Calibri" w:hAnsi="Calibri"/>
          <w:sz w:val="21"/>
          <w:szCs w:val="21"/>
        </w:rPr>
        <w:t xml:space="preserve">El objetivo de este módulo es poner a disposición información que hoy llega en PDF o por chat. La pantalla muestra el detalle diario de los descubiertos, con las tasas aplicadas, los vencimientos y los intereses cobrados.</w:t>
      </w:r>
    </w:p>
    <w:p>
      <w:pPr>
        <w:spacing w:after="120"/>
        <w:jc w:val="both"/>
      </w:pPr>
      <w:r>
        <w:rPr>
          <w:rFonts w:ascii="Calibri" w:cs="Calibri" w:eastAsia="Calibri" w:hAnsi="Calibri"/>
          <w:sz w:val="21"/>
          <w:szCs w:val="21"/>
        </w:rPr>
        <w:t xml:space="preserve">Se evalúa además habilitar acuerdos con fecha valor, para corregir un descubierto originado en un error operativo sin ajustes manuales posteriores. Se proponen límites por monto y por nivel de aprobación, y la política contempla hasta tres días a nivel de movimiento y cinco a nivel contable, sujeto a validación. Su viabilidad, con sus controles y el cálculo del cobro, la revisan Adrián Porto y Daniel Semino con Cristian.</w:t>
      </w:r>
    </w:p>
    <w:p>
      <w:pPr>
        <w:spacing w:after="120"/>
        <w:jc w:val="both"/>
      </w:pPr>
      <w:r>
        <w:rPr>
          <w:rFonts w:ascii="Calibri" w:cs="Calibri" w:eastAsia="Calibri" w:hAnsi="Calibri"/>
          <w:sz w:val="21"/>
          <w:szCs w:val="21"/>
        </w:rPr>
        <w:t xml:space="preserve">Por último, se propone registrar el histórico diario de la tasa de transferencia, que es distinta de la tasa de fondeo y que hoy se recibe por chat y se carga a mano. Ese histórico permitiría consultar la tasa vigente en una fecha anterior para los acuerdos con fecha valor y calcular el margen de una operación. Dónde registrarla se define con la Mesa.</w:t>
      </w:r>
    </w:p>
    <w:p>
      <w:pPr>
        <w:pStyle w:val="Heading2"/>
      </w:pPr>
      <w:r>
        <w:rPr>
          <w:rFonts w:ascii="Calibri" w:cs="Calibri" w:eastAsia="Calibri" w:hAnsi="Calibri"/>
        </w:rPr>
        <w:t xml:space="preserve">Módulo P · Eventos, alertas y oportunidades</w:t>
      </w:r>
    </w:p>
    <w:p>
      <w:pPr>
        <w:spacing w:after="120"/>
        <w:jc w:val="both"/>
      </w:pPr>
      <w:r>
        <w:rPr>
          <w:rFonts w:ascii="Calibri" w:cs="Calibri" w:eastAsia="Calibri" w:hAnsi="Calibri"/>
          <w:sz w:val="21"/>
          <w:szCs w:val="21"/>
        </w:rPr>
        <w:t xml:space="preserve">El objetivo de este módulo es que el oficial se anticipe sin armar calendarios ni listados manuales. La pantalla muestra los clientes de la cartera con cuentas embargadas o bloqueadas, que hoy se avisan por mail y pueden pasar inadvertidas; los títulos próximos a vencer, cruzando la especie con los comitentes de cada oficial, para proponer una renovación o reinversión; y los plazos fijos que vencen en los próximos 30 días, con clientes y montos, que hoy se piden al SAC de forma manual.</w:t>
      </w:r>
    </w:p>
    <w:p>
      <w:pPr>
        <w:spacing w:after="120"/>
        <w:jc w:val="both"/>
      </w:pPr>
      <w:r>
        <w:rPr>
          <w:rFonts w:ascii="Calibri" w:cs="Calibri" w:eastAsia="Calibri" w:hAnsi="Calibri"/>
          <w:sz w:val="21"/>
          <w:szCs w:val="21"/>
        </w:rPr>
        <w:t xml:space="preserve">También avisa cuando faltan unos 60 días para el vencimiento de una línea o sublínea, para iniciar la renovación, y reúne las oportunidades de la cartera: clientes con línea disponible, cheques para comprar o descontar, títulos por vencer y liquidaciones pendientes. Las alertas deben ser puntuales, porque una alerta permanente pierde efectividad.</w:t>
      </w:r>
    </w:p>
    <w:p>
      <w:pPr>
        <w:pStyle w:val="Heading2"/>
      </w:pPr>
      <w:r>
        <w:rPr>
          <w:rFonts w:ascii="Calibri" w:cs="Calibri" w:eastAsia="Calibri" w:hAnsi="Calibri"/>
        </w:rPr>
        <w:t xml:space="preserve">Criterios comunes del tablero</w:t>
      </w:r>
    </w:p>
    <w:p>
      <w:pPr>
        <w:spacing w:after="120"/>
        <w:jc w:val="both"/>
      </w:pPr>
      <w:r>
        <w:rPr>
          <w:rFonts w:ascii="Calibri" w:cs="Calibri" w:eastAsia="Calibri" w:hAnsi="Calibri"/>
          <w:sz w:val="21"/>
          <w:szCs w:val="21"/>
        </w:rPr>
        <w:t xml:space="preserve">Todas las pantallas del tablero ofrecen una vista por cliente y una vista por funcionalidad para toda la cartera. Los clientes se clasifican según la segmentación existente en COBIS: ALyC, fondos, fideicomisos, corporativos y un grupo reducido de personas físicas vinculadas o empleados. Para los oficiales, la vista es principalmente de consulta; queda por definir si pueden ver toda la información, incluso la cartera de un oficial ausente. Middle Office tiene una vista agregada de todos los oficiales y, a futuro, la capacidad de editar o ejecutar acciones. El relevamiento técnico definirá en qué sistema reside cada dato: COBIS, los home banking, Hirus, Virtual Broker o el sistema de plazos fijos.</w:t>
      </w:r>
    </w:p>
    <w:p>
      <w:pPr>
        <w:spacing w:after="120"/>
        <w:jc w:val="both"/>
      </w:pPr>
      <w:r>
        <w:rPr>
          <w:rFonts w:ascii="Calibri" w:cs="Calibri" w:eastAsia="Calibri" w:hAnsi="Calibri"/>
          <w:sz w:val="21"/>
          <w:szCs w:val="21"/>
        </w:rPr>
        <w:t xml:space="preserve">Queda fuera de este alcance la suscripción y el rescate de fondos desde el home banking, que hoy se piden por mail, teléfono o WhatsApp y se procesan a mano. Ese tema se incorpora al backlog del home banking con Red Bee; su primera etapa es el acceso por single sign-on a Comercio Exterior y a la cuenta de títulos por Virtual Broker.</w:t>
      </w:r>
    </w:p>
    <w:p>
      <w:pPr>
        <w:pStyle w:val="Heading1"/>
        <w:pageBreakBefore/>
      </w:pPr>
      <w:r>
        <w:rPr>
          <w:rFonts w:ascii="Calibri" w:cs="Calibri" w:eastAsia="Calibri" w:hAnsi="Calibri"/>
        </w:rPr>
        <w:t xml:space="preserve">8.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van al subcomité las líneas de hasta USD 1.000.000, las corporativas de hasta $1.000 millones y las de ALyC; el resto va al comité.</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 Una línea garantizada puede tener uno o más avales, cada uno con su vencimiento y con un avalista que debe estar en COBIS MIS; los documentos de los avales se adjuntan solo a modo informativo, y la conformidad de Activas deja la línea en vigencia y registra el aval en las garantías de COBIS. Las líneas en dólares solo se amplían por actualización del tipo de cambio a pedido de Middle Office y con la autorización del gerente de Riesgos.</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calculada según la normativa del BCRA sobre grandes exposiciones al riesgo de crédito (punto 2.1).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En la pantalla de líneas, las operaciones de cada línea se muestran ordenadas desde el primer vencimiento hasta el más futuro, con su tasa de operación, su tasa de fondeo, su vencimiento final y su plazo. En el tablero de oficiales, los cheques, rescates, transferencias y liquidaciones pendientes se muestran para decidir, pero no liberan fondos de forma automática. Las tablas de amortización solo pueden modificarse en préstamos liquidados y activos, sobre las cuotas no cobradas, con la adenda adjunta y con la aprobación de Activas.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 El gerente de Riesgos, además, autoriza las ampliaciones de las líneas en dólares por actualización del tipo de cambio.</w:t>
      </w:r>
    </w:p>
    <w:p>
      <w:pPr>
        <w:spacing w:after="120"/>
        <w:jc w:val="both"/>
      </w:pPr>
      <w:r>
        <w:rPr>
          <w:rFonts w:ascii="Calibri" w:cs="Calibri" w:eastAsia="Calibri" w:hAnsi="Calibri"/>
          <w:sz w:val="21"/>
          <w:szCs w:val="21"/>
        </w:rPr>
        <w:t xml:space="preserve">Middle Office es el área que opera. Detalla los avales de las líneas garantizadas y adjunta las fianzas generales; solicita las ampliaciones de las líneas en dólares; carga los préstamos, las prefinanciaciones y los descubiertos; renueva los descubiertos desde la pantalla de vencimientos; carga y simula los descuentos de cheques; y solicita las modificaciones de tablas de amortización.</w:t>
      </w:r>
    </w:p>
    <w:p>
      <w:pPr>
        <w:spacing w:after="120"/>
        <w:jc w:val="both"/>
      </w:pPr>
      <w:r>
        <w:rPr>
          <w:rFonts w:ascii="Calibri" w:cs="Calibri" w:eastAsia="Calibri" w:hAnsi="Calibri"/>
          <w:sz w:val="21"/>
          <w:szCs w:val="21"/>
        </w:rPr>
        <w:t xml:space="preserve">Activas otorga la conformidad de las garantías; autoriza los avales, con lo que deja la línea en vigencia y los registra en las garantías de COBIS; aprueba el acuerdo marco de cheques, con la parametrización de la cuenta de desembolso; y aprueba las modificaciones de tablas de amortización.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9.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10.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C y E. Entrega la pantalla de minutas con la aprobación y sus acciones automáticas, el alta de líneas con la gestión de garantías por subproducto y el forzado, el circuito de avales con su registro en las garantías de COBIS,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con la solicitud de ampliación de las líneas en dólares,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y K. Entrega la carga de préstamos con tablas de amortización, el descuento de cheques con scoring, y la modificación de tablas de amortización de préstamos activos. Se deja para el final porque estos módulos requieren un relevamiento adicional o definiciones de terceros, como el desarrollo de modernización.</w:t>
      </w:r>
    </w:p>
    <w:p>
      <w:pPr>
        <w:spacing w:after="120"/>
        <w:jc w:val="both"/>
      </w:pPr>
      <w:r>
        <w:rPr>
          <w:rFonts w:ascii="Calibri" w:cs="Calibri" w:eastAsia="Calibri" w:hAnsi="Calibri"/>
          <w:sz w:val="21"/>
          <w:szCs w:val="21"/>
        </w:rPr>
        <w:t xml:space="preserve">Una cuarta fase corresponde al tablero de oficiales, con los módulos L a P. Depende del relevamiento técnico de los datos y del wireframe de validación que preparará Red Bee.</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siete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el registro automático de los avales en las garantías de COBIS, que es la base del módulo C; hay que confirmar con Red BI cómo se integra con COBIS antes de estimarlo.</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 El séptimo es que los datos del tablero de oficiales están en sistemas distintos y muchos se actualizan con un día de demora; el relevamiento técnico con COBIS y Sistemas debe confirmar qué información puede mostrarse actualizada antes de comprometer el alcance del tablero.</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avales, hay que definir cómo se gestiona su vencimiento.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y el alcance de la definición de que "todo lo que está en Trámites y Gestión pase por COBIS Web", para confirmar si incluye otros productos. Queda por revisar si un cliente con límite disponible aprobado puede operar hasta ese límite sin pedir un acuerdo adicional por cada pago, considerando las restricciones de riesgo, previsiones, capital y normativa, y cómo se definen los permisos de los oficiales sobre carteras ajenas.</w:t>
      </w:r>
    </w:p>
    <w:p>
      <w:pPr>
        <w:pStyle w:val="Heading1"/>
        <w:pageBreakBefore/>
      </w:pPr>
      <w:r>
        <w:rPr>
          <w:rFonts w:ascii="Calibri" w:cs="Calibri" w:eastAsia="Calibri" w:hAnsi="Calibri"/>
        </w:rPr>
        <w:t xml:space="preserve">11. Próximos pasos</w:t>
      </w:r>
    </w:p>
    <w:p>
      <w:pPr>
        <w:spacing w:after="120"/>
        <w:jc w:val="both"/>
      </w:pPr>
      <w:r>
        <w:rPr>
          <w:rFonts w:ascii="Calibri" w:cs="Calibri" w:eastAsia="Calibri" w:hAnsi="Calibri"/>
          <w:sz w:val="21"/>
          <w:szCs w:val="21"/>
        </w:rPr>
        <w:t xml:space="preserve">Para avanzar con el proyecto se proponen los siguientes pasos. El primero es validar este informe con Middle Office y Riesgos,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confirmar con Red BI la integración del registro de avales en las garantías de COBIS.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Para el tablero de oficiales, los pasos acordados en el Discovery son: Barbi Aceto consolida los requerimientos y prepara un wireframe de baja fidelidad para validarlo con los usuarios; Barbi Aceto, Adrián Porto y José Luis Cárdenas coordinan el relevamiento técnico de los datos con Julio, Pepe y el equipo de COBIS; Eugenio Ayerza, Ariel Scodellaro y Valeria Grollino envían capturas de COBIS y ejemplos de los reportes actuales; Adrián Porto y Daniel Semino revisan con Cristian la viabilidad de los acuerdos con fecha valor y, con la Mesa, dónde registrar el histórico de tasas de transferencia; y Barbi Aceto y Adrián Porto definen cómo mostrar el plazo de cada sublímite y la alerta de 60 días.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2026-10-19T22:08:52.101Z</dcterms:created>
  <dcterms:modified xsi:type="dcterms:W3CDTF">2026-10-19T22:08:52.102Z</dcterms:modified>
</cp:coreProperties>
</file>

<file path=docProps/custom.xml><?xml version="1.0" encoding="utf-8"?>
<Properties xmlns="http://schemas.openxmlformats.org/officeDocument/2006/custom-properties" xmlns:vt="http://schemas.openxmlformats.org/officeDocument/2006/docPropsVTypes"/>
</file>