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26.jpg" ContentType="image/jpeg"/>
  <Override PartName="/word/media/rId84.jpg" ContentType="image/jpeg"/>
  <Override PartName="/word/media/rId88.jpg" ContentType="image/jpeg"/>
  <Override PartName="/word/media/rId93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30.jpg" ContentType="image/jpeg"/>
  <Override PartName="/word/media/rId114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Серебрякова Дарья Ильинична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виртуальную машину</w:t>
      </w:r>
    </w:p>
    <w:p>
      <w:pPr>
        <w:pStyle w:val="Compact"/>
        <w:numPr>
          <w:ilvl w:val="0"/>
          <w:numId w:val="1001"/>
        </w:numPr>
      </w:pPr>
      <w:r>
        <w:t xml:space="preserve">Установить операционную систему</w:t>
      </w:r>
    </w:p>
    <w:bookmarkEnd w:id="21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Открываю виртуальную машину, нажимаю кнопку создать и задаю первые параметры для новый виртуальной машины (рис. 1).</w:t>
      </w:r>
    </w:p>
    <w:bookmarkStart w:id="25" w:name="fig:001"/>
    <w:p>
      <w:pPr>
        <w:pStyle w:val="CaptionedFigure"/>
      </w:pPr>
      <w:r>
        <w:drawing>
          <wp:inline>
            <wp:extent cx="3733800" cy="3309631"/>
            <wp:effectExtent b="0" l="0" r="0" t="0"/>
            <wp:docPr descr="Рис. 1: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9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bookmarkEnd w:id="25"/>
    <w:p>
      <w:pPr>
        <w:pStyle w:val="BodyText"/>
      </w:pPr>
      <w:r>
        <w:t xml:space="preserve">Указываю обьем основной памяти (рис. 2).</w:t>
      </w:r>
    </w:p>
    <w:bookmarkStart w:id="29" w:name="fig:002"/>
    <w:p>
      <w:pPr>
        <w:pStyle w:val="CaptionedFigure"/>
      </w:pPr>
      <w:r>
        <w:drawing>
          <wp:inline>
            <wp:extent cx="3733800" cy="2593775"/>
            <wp:effectExtent b="0" l="0" r="0" t="0"/>
            <wp:docPr descr="Рис. 2: 2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bookmarkEnd w:id="29"/>
    <w:p>
      <w:pPr>
        <w:pStyle w:val="BodyText"/>
      </w:pPr>
      <w:r>
        <w:t xml:space="preserve">Подключаю двунаправленный буфер обмена (рис. 3).</w:t>
      </w:r>
    </w:p>
    <w:bookmarkStart w:id="33" w:name="fig:003"/>
    <w:p>
      <w:pPr>
        <w:pStyle w:val="CaptionedFigure"/>
      </w:pPr>
      <w:r>
        <w:drawing>
          <wp:inline>
            <wp:extent cx="3733800" cy="2607451"/>
            <wp:effectExtent b="0" l="0" r="0" t="0"/>
            <wp:docPr descr="Рис. 3: 3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bookmarkEnd w:id="33"/>
    <w:p>
      <w:pPr>
        <w:pStyle w:val="BodyText"/>
      </w:pPr>
      <w:r>
        <w:t xml:space="preserve">Задаю параметры видеопамяти и включаю 3D ускорение (рис. 4).</w:t>
      </w:r>
    </w:p>
    <w:bookmarkStart w:id="37" w:name="fig:004"/>
    <w:p>
      <w:pPr>
        <w:pStyle w:val="CaptionedFigure"/>
      </w:pPr>
      <w:r>
        <w:drawing>
          <wp:inline>
            <wp:extent cx="3733800" cy="2590073"/>
            <wp:effectExtent b="0" l="0" r="0" t="0"/>
            <wp:docPr descr="Рис. 4: 4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bookmarkEnd w:id="37"/>
    <w:p>
      <w:pPr>
        <w:pStyle w:val="BodyText"/>
      </w:pPr>
      <w:r>
        <w:t xml:space="preserve">Выбираю скачанный образ ОС (рис. 5).</w:t>
      </w:r>
    </w:p>
    <w:bookmarkStart w:id="41" w:name="fig:005"/>
    <w:p>
      <w:pPr>
        <w:pStyle w:val="CaptionedFigure"/>
      </w:pPr>
      <w:r>
        <w:drawing>
          <wp:inline>
            <wp:extent cx="3733800" cy="2557033"/>
            <wp:effectExtent b="0" l="0" r="0" t="0"/>
            <wp:docPr descr="Рис. 5: 5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bookmarkEnd w:id="41"/>
    <w:p>
      <w:pPr>
        <w:pStyle w:val="BodyText"/>
      </w:pPr>
      <w:r>
        <w:t xml:space="preserve">##Установка операционной системы</w:t>
      </w:r>
    </w:p>
    <w:p>
      <w:pPr>
        <w:pStyle w:val="BodyText"/>
      </w:pPr>
      <w:r>
        <w:t xml:space="preserve">Запускаю виртуальную машину (рис. 6).</w:t>
      </w:r>
    </w:p>
    <w:bookmarkStart w:id="45" w:name="fig:006"/>
    <w:p>
      <w:pPr>
        <w:pStyle w:val="CaptionedFigure"/>
      </w:pPr>
      <w:r>
        <w:drawing>
          <wp:inline>
            <wp:extent cx="3733800" cy="1299649"/>
            <wp:effectExtent b="0" l="0" r="0" t="0"/>
            <wp:docPr descr="Рис. 6: 6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bookmarkEnd w:id="45"/>
    <w:p>
      <w:pPr>
        <w:pStyle w:val="BodyText"/>
      </w:pPr>
      <w:r>
        <w:t xml:space="preserve">Вижу начальный интерфейс и следую инструкции, чтбы открыть терминал (рис. 7).</w:t>
      </w:r>
    </w:p>
    <w:bookmarkStart w:id="49" w:name="fig:007"/>
    <w:p>
      <w:pPr>
        <w:pStyle w:val="CaptionedFigure"/>
      </w:pPr>
      <w:r>
        <w:drawing>
          <wp:inline>
            <wp:extent cx="3733800" cy="3253673"/>
            <wp:effectExtent b="0" l="0" r="0" t="0"/>
            <wp:docPr descr="Рис. 7: 7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bookmarkEnd w:id="49"/>
    <w:p>
      <w:pPr>
        <w:pStyle w:val="BodyText"/>
      </w:pPr>
      <w:r>
        <w:t xml:space="preserve">Устанавливаю федору (рис. 8).</w:t>
      </w:r>
    </w:p>
    <w:bookmarkStart w:id="53" w:name="fig:008"/>
    <w:p>
      <w:pPr>
        <w:pStyle w:val="CaptionedFigure"/>
      </w:pPr>
      <w:r>
        <w:drawing>
          <wp:inline>
            <wp:extent cx="3733800" cy="2852842"/>
            <wp:effectExtent b="0" l="0" r="0" t="0"/>
            <wp:docPr descr="Рис. 8: 8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bookmarkEnd w:id="53"/>
    <w:p>
      <w:pPr>
        <w:pStyle w:val="BodyText"/>
      </w:pPr>
      <w:r>
        <w:t xml:space="preserve">выключаю машину, отключаю носитель информации с образом ОС и включаю виртуальную машину повторно. Вхожу с паролем (рис. 9).</w:t>
      </w:r>
    </w:p>
    <w:bookmarkStart w:id="57" w:name="fig:010"/>
    <w:p>
      <w:pPr>
        <w:pStyle w:val="CaptionedFigure"/>
      </w:pPr>
      <w:r>
        <w:drawing>
          <wp:inline>
            <wp:extent cx="3733800" cy="2901567"/>
            <wp:effectExtent b="0" l="0" r="0" t="0"/>
            <wp:docPr descr="Рис. 9: 10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10</w:t>
      </w:r>
    </w:p>
    <w:bookmarkEnd w:id="57"/>
    <w:bookmarkEnd w:id="58"/>
    <w:bookmarkStart w:id="83" w:name="работа-с-ос-после-установ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ОС после установки</w:t>
      </w:r>
    </w:p>
    <w:p>
      <w:pPr>
        <w:pStyle w:val="FirstParagraph"/>
      </w:pPr>
      <w:r>
        <w:t xml:space="preserve">Открываю терминал, переключаюсь на роль супер пользователя (рис. 10).</w:t>
      </w:r>
    </w:p>
    <w:bookmarkStart w:id="62" w:name="fig:011"/>
    <w:p>
      <w:pPr>
        <w:pStyle w:val="CaptionedFigure"/>
      </w:pPr>
      <w:r>
        <w:drawing>
          <wp:inline>
            <wp:extent cx="3733800" cy="3300309"/>
            <wp:effectExtent b="0" l="0" r="0" t="0"/>
            <wp:docPr descr="Рис. 10: 11" title="" id="60" name="Picture"/>
            <a:graphic>
              <a:graphicData uri="http://schemas.openxmlformats.org/drawingml/2006/picture">
                <pic:pic>
                  <pic:nvPicPr>
                    <pic:cNvPr descr="image/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11</w:t>
      </w:r>
    </w:p>
    <w:bookmarkEnd w:id="62"/>
    <w:p>
      <w:pPr>
        <w:pStyle w:val="BodyText"/>
      </w:pPr>
      <w:r>
        <w:t xml:space="preserve">Устанавливаю программы для удобства работы в консоли (рис. 11).</w:t>
      </w:r>
    </w:p>
    <w:bookmarkStart w:id="66" w:name="fig:012"/>
    <w:p>
      <w:pPr>
        <w:pStyle w:val="CaptionedFigure"/>
      </w:pPr>
      <w:r>
        <w:drawing>
          <wp:inline>
            <wp:extent cx="3733800" cy="4262167"/>
            <wp:effectExtent b="0" l="0" r="0" t="0"/>
            <wp:docPr descr="Рис. 11: 12" title="" id="64" name="Picture"/>
            <a:graphic>
              <a:graphicData uri="http://schemas.openxmlformats.org/drawingml/2006/picture">
                <pic:pic>
                  <pic:nvPicPr>
                    <pic:cNvPr descr="image/12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2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12</w:t>
      </w:r>
    </w:p>
    <w:bookmarkEnd w:id="66"/>
    <w:p>
      <w:pPr>
        <w:pStyle w:val="BodyText"/>
      </w:pPr>
      <w:r>
        <w:t xml:space="preserve">Устанавливаю программы для автоматического обновления (рис. 12).</w:t>
      </w:r>
    </w:p>
    <w:bookmarkStart w:id="70" w:name="fig:013"/>
    <w:p>
      <w:pPr>
        <w:pStyle w:val="CaptionedFigure"/>
      </w:pPr>
      <w:r>
        <w:drawing>
          <wp:inline>
            <wp:extent cx="3733800" cy="2516510"/>
            <wp:effectExtent b="0" l="0" r="0" t="0"/>
            <wp:docPr descr="Рис. 12: 13" title="" id="68" name="Picture"/>
            <a:graphic>
              <a:graphicData uri="http://schemas.openxmlformats.org/drawingml/2006/picture">
                <pic:pic>
                  <pic:nvPicPr>
                    <pic:cNvPr descr="image/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13</w:t>
      </w:r>
    </w:p>
    <w:bookmarkEnd w:id="70"/>
    <w:p>
      <w:pPr>
        <w:pStyle w:val="BodyText"/>
      </w:pPr>
      <w:r>
        <w:t xml:space="preserve">Запускаю таймер (рис. 13).</w:t>
      </w:r>
    </w:p>
    <w:bookmarkStart w:id="74" w:name="fig:014"/>
    <w:p>
      <w:pPr>
        <w:pStyle w:val="CaptionedFigure"/>
      </w:pPr>
      <w:r>
        <w:drawing>
          <wp:inline>
            <wp:extent cx="3733800" cy="478188"/>
            <wp:effectExtent b="0" l="0" r="0" t="0"/>
            <wp:docPr descr="Рис. 13: 14" title="" id="72" name="Picture"/>
            <a:graphic>
              <a:graphicData uri="http://schemas.openxmlformats.org/drawingml/2006/picture">
                <pic:pic>
                  <pic:nvPicPr>
                    <pic:cNvPr descr="image/1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14</w:t>
      </w:r>
    </w:p>
    <w:bookmarkEnd w:id="74"/>
    <w:p>
      <w:pPr>
        <w:pStyle w:val="BodyText"/>
      </w:pPr>
      <w:r>
        <w:t xml:space="preserve">Изменяю открытый файл: меняю значение SELINUX=enforsing на SELINUX=permissive (рис. 14).</w:t>
      </w:r>
    </w:p>
    <w:bookmarkStart w:id="78" w:name="fig:015"/>
    <w:p>
      <w:pPr>
        <w:pStyle w:val="CaptionedFigure"/>
      </w:pPr>
      <w:r>
        <w:drawing>
          <wp:inline>
            <wp:extent cx="3733800" cy="711755"/>
            <wp:effectExtent b="0" l="0" r="0" t="0"/>
            <wp:docPr descr="Рис. 14: 15" title="" id="76" name="Picture"/>
            <a:graphic>
              <a:graphicData uri="http://schemas.openxmlformats.org/drawingml/2006/picture">
                <pic:pic>
                  <pic:nvPicPr>
                    <pic:cNvPr descr="image/15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15</w:t>
      </w:r>
    </w:p>
    <w:bookmarkEnd w:id="78"/>
    <w:p>
      <w:pPr>
        <w:pStyle w:val="BodyText"/>
      </w:pPr>
      <w:r>
        <w:t xml:space="preserve">Редактирую конфигурационный файл (рис. 15).</w:t>
      </w:r>
    </w:p>
    <w:bookmarkStart w:id="82" w:name="fig:018"/>
    <w:p>
      <w:pPr>
        <w:pStyle w:val="CaptionedFigure"/>
      </w:pPr>
      <w:r>
        <w:drawing>
          <wp:inline>
            <wp:extent cx="3733800" cy="1700853"/>
            <wp:effectExtent b="0" l="0" r="0" t="0"/>
            <wp:docPr descr="Рис. 15: 18" title="" id="80" name="Picture"/>
            <a:graphic>
              <a:graphicData uri="http://schemas.openxmlformats.org/drawingml/2006/picture">
                <pic:pic>
                  <pic:nvPicPr>
                    <pic:cNvPr descr="image/18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18</w:t>
      </w:r>
    </w:p>
    <w:bookmarkEnd w:id="82"/>
    <w:bookmarkEnd w:id="83"/>
    <w:bookmarkStart w:id="92" w:name="X9e1dcf95cfcc578e31cfcc835240d4351b2d7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Скачиваю пандок и пандок кросреф одинаковых версий (рис. 16).</w:t>
      </w:r>
    </w:p>
    <w:bookmarkStart w:id="87" w:name="fig:021"/>
    <w:p>
      <w:pPr>
        <w:pStyle w:val="CaptionedFigure"/>
      </w:pPr>
      <w:r>
        <w:drawing>
          <wp:inline>
            <wp:extent cx="3733800" cy="299746"/>
            <wp:effectExtent b="0" l="0" r="0" t="0"/>
            <wp:docPr descr="Рис. 16: 21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21</w:t>
      </w:r>
    </w:p>
    <w:bookmarkEnd w:id="87"/>
    <w:p>
      <w:pPr>
        <w:pStyle w:val="BodyText"/>
      </w:pPr>
      <w:r>
        <w:t xml:space="preserve">Распаковываю их и устанавливаю (рис. 17).</w:t>
      </w:r>
    </w:p>
    <w:bookmarkStart w:id="91" w:name="fig:023"/>
    <w:p>
      <w:pPr>
        <w:pStyle w:val="CaptionedFigure"/>
      </w:pPr>
      <w:r>
        <w:drawing>
          <wp:inline>
            <wp:extent cx="3733800" cy="1107830"/>
            <wp:effectExtent b="0" l="0" r="0" t="0"/>
            <wp:docPr descr="Рис. 17: 23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23</w:t>
      </w:r>
    </w:p>
    <w:bookmarkEnd w:id="91"/>
    <w:bookmarkEnd w:id="92"/>
    <w:bookmarkStart w:id="118" w:name="домашнее-задани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(рис. 18).</w:t>
      </w:r>
    </w:p>
    <w:bookmarkStart w:id="96" w:name="fig:025"/>
    <w:p>
      <w:pPr>
        <w:pStyle w:val="CaptionedFigure"/>
      </w:pPr>
      <w:r>
        <w:drawing>
          <wp:inline>
            <wp:extent cx="3733800" cy="278790"/>
            <wp:effectExtent b="0" l="0" r="0" t="0"/>
            <wp:docPr descr="Рис. 18: 25" title="" id="94" name="Picture"/>
            <a:graphic>
              <a:graphicData uri="http://schemas.openxmlformats.org/drawingml/2006/picture">
                <pic:pic>
                  <pic:nvPicPr>
                    <pic:cNvPr descr="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25</w:t>
      </w:r>
    </w:p>
    <w:bookmarkEnd w:id="96"/>
    <w:p>
      <w:pPr>
        <w:pStyle w:val="BodyText"/>
      </w:pPr>
      <w:r>
        <w:t xml:space="preserve">(рис. 19).</w:t>
      </w:r>
    </w:p>
    <w:bookmarkStart w:id="100" w:name="fig:026"/>
    <w:p>
      <w:pPr>
        <w:pStyle w:val="CaptionedFigure"/>
      </w:pPr>
      <w:r>
        <w:drawing>
          <wp:inline>
            <wp:extent cx="3733800" cy="413553"/>
            <wp:effectExtent b="0" l="0" r="0" t="0"/>
            <wp:docPr descr="Рис. 19: 26" title="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26</w:t>
      </w:r>
    </w:p>
    <w:bookmarkEnd w:id="100"/>
    <w:p>
      <w:pPr>
        <w:pStyle w:val="BodyText"/>
      </w:pPr>
      <w:r>
        <w:t xml:space="preserve">(рис. 20).</w:t>
      </w:r>
    </w:p>
    <w:bookmarkStart w:id="104" w:name="fig:027"/>
    <w:p>
      <w:pPr>
        <w:pStyle w:val="CaptionedFigure"/>
      </w:pPr>
      <w:r>
        <w:drawing>
          <wp:inline>
            <wp:extent cx="3733800" cy="322716"/>
            <wp:effectExtent b="0" l="0" r="0" t="0"/>
            <wp:docPr descr="Рис. 20: 27" title="" id="102" name="Picture"/>
            <a:graphic>
              <a:graphicData uri="http://schemas.openxmlformats.org/drawingml/2006/picture">
                <pic:pic>
                  <pic:nvPicPr>
                    <pic:cNvPr descr="image/27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27</w:t>
      </w:r>
    </w:p>
    <w:bookmarkEnd w:id="104"/>
    <w:p>
      <w:pPr>
        <w:pStyle w:val="BodyText"/>
      </w:pPr>
      <w:r>
        <w:t xml:space="preserve">(рис. 21).</w:t>
      </w:r>
    </w:p>
    <w:bookmarkStart w:id="108" w:name="fig:028"/>
    <w:p>
      <w:pPr>
        <w:pStyle w:val="CaptionedFigure"/>
      </w:pPr>
      <w:r>
        <w:drawing>
          <wp:inline>
            <wp:extent cx="3733800" cy="247311"/>
            <wp:effectExtent b="0" l="0" r="0" t="0"/>
            <wp:docPr descr="Рис. 21: 28" title="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28</w:t>
      </w:r>
    </w:p>
    <w:bookmarkEnd w:id="108"/>
    <w:p>
      <w:pPr>
        <w:pStyle w:val="BodyText"/>
      </w:pPr>
      <w:r>
        <w:t xml:space="preserve">(рис. 22).</w:t>
      </w:r>
    </w:p>
    <w:bookmarkStart w:id="112" w:name="fig:029"/>
    <w:p>
      <w:pPr>
        <w:pStyle w:val="CaptionedFigure"/>
      </w:pPr>
      <w:r>
        <w:drawing>
          <wp:inline>
            <wp:extent cx="3733800" cy="1709593"/>
            <wp:effectExtent b="0" l="0" r="0" t="0"/>
            <wp:docPr descr="Рис. 22: 29" title="" id="110" name="Picture"/>
            <a:graphic>
              <a:graphicData uri="http://schemas.openxmlformats.org/drawingml/2006/picture">
                <pic:pic>
                  <pic:nvPicPr>
                    <pic:cNvPr descr="image/29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29</w:t>
      </w:r>
    </w:p>
    <w:bookmarkEnd w:id="112"/>
    <w:p>
      <w:pPr>
        <w:pStyle w:val="BodyText"/>
      </w:pPr>
      <w:r>
        <w:t xml:space="preserve">(рис. 23).</w:t>
      </w:r>
    </w:p>
    <w:bookmarkStart w:id="113" w:name="fig:030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23: 30</w:t>
            </w:r>
          </w:p>
        </w:tc>
      </w:tr>
    </w:tbl>
    <w:p>
      <w:pPr>
        <w:pStyle w:val="ImageCaption"/>
      </w:pPr>
      <w:r>
        <w:t xml:space="preserve">Рис. 23: 30</w:t>
      </w:r>
    </w:p>
    <w:bookmarkEnd w:id="113"/>
    <w:p>
      <w:pPr>
        <w:pStyle w:val="BodyText"/>
      </w:pPr>
      <w:r>
        <w:t xml:space="preserve">(рис. 24).</w:t>
      </w:r>
    </w:p>
    <w:bookmarkStart w:id="117" w:name="fig:031"/>
    <w:p>
      <w:pPr>
        <w:pStyle w:val="CaptionedFigure"/>
      </w:pPr>
      <w:r>
        <w:drawing>
          <wp:inline>
            <wp:extent cx="3733800" cy="766562"/>
            <wp:effectExtent b="0" l="0" r="0" t="0"/>
            <wp:docPr descr="Рис. 24: 31" title="" id="115" name="Picture"/>
            <a:graphic>
              <a:graphicData uri="http://schemas.openxmlformats.org/drawingml/2006/picture">
                <pic:pic>
                  <pic:nvPicPr>
                    <pic:cNvPr descr="image/3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31</w:t>
      </w:r>
    </w:p>
    <w:bookmarkEnd w:id="117"/>
    <w:bookmarkEnd w:id="118"/>
    <w:bookmarkStart w:id="119" w:name="ответы-на-вопрос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Ответы на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“убьет”</w:t>
      </w:r>
      <w:r>
        <w:t xml:space="preserve"> </w:t>
      </w:r>
      <w:r>
        <w:t xml:space="preserve">все процессы, которые есть в данный момент, для этого не нужно знать id процесса</w:t>
      </w:r>
    </w:p>
    <w:bookmarkEnd w:id="119"/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</w:t>
      </w:r>
    </w:p>
    <w:bookmarkEnd w:id="121"/>
    <w:bookmarkStart w:id="122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Dash P. Getting started with oracle vm virtualbox. Packt Publishing Ltd, 2013. 86 p.</w:t>
      </w:r>
      <w:r>
        <w:t xml:space="preserve"> </w:t>
      </w:r>
      <w:r>
        <w:t xml:space="preserve">Colvin H. Virtualbox: An ultimate guide book on virtualization with virtualbox. CreateSpace</w:t>
      </w:r>
    </w:p>
    <w:p>
      <w:pPr>
        <w:pStyle w:val="Compact"/>
        <w:numPr>
          <w:ilvl w:val="0"/>
          <w:numId w:val="1003"/>
        </w:numPr>
      </w:pPr>
      <w:r>
        <w:t xml:space="preserve">Independent Publishing Platform, 2015. 70 p.</w:t>
      </w:r>
      <w:r>
        <w:t xml:space="preserve"> </w:t>
      </w:r>
      <w:r>
        <w:t xml:space="preserve">van Vugt S. Red hat rhcsa/rhce 7 cert guide : Red hat enterprise linux 7 (ex200 and ex300).</w:t>
      </w:r>
      <w:r>
        <w:t xml:space="preserve"> </w:t>
      </w:r>
      <w:r>
        <w:t xml:space="preserve">Pearson IT Certification, 2016. 1008 p.</w:t>
      </w:r>
    </w:p>
    <w:p>
      <w:pPr>
        <w:pStyle w:val="Compact"/>
        <w:numPr>
          <w:ilvl w:val="0"/>
          <w:numId w:val="1003"/>
        </w:numPr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26" Target="media/rId26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30" Target="media/rId30.jpg" /><Relationship Type="http://schemas.openxmlformats.org/officeDocument/2006/relationships/image" Id="rId114" Target="media/rId114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Серебрякова Дарья Ильинична</dc:creator>
  <dc:language>ru-RU</dc:language>
  <cp:keywords/>
  <dcterms:created xsi:type="dcterms:W3CDTF">2025-03-03T18:33:59Z</dcterms:created>
  <dcterms:modified xsi:type="dcterms:W3CDTF">2025-03-03T18:33:59Z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