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t>ArchLens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t>企业系统架构取证智能体设计文档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r>
              <w:t>STATUS</w:t>
              <w:br/>
              <w:t>提议评审版</w:t>
            </w:r>
          </w:p>
        </w:tc>
        <w:tc>
          <w:tcPr/>
          <w:p>
            <w:r/>
          </w:p>
        </w:tc>
        <w:tc>
          <w:tcPr/>
          <w:p>
            <w:r>
              <w:t>OWNER</w:t>
              <w:br/>
              <w:t>ArchLens 项目组</w:t>
            </w:r>
          </w:p>
        </w:tc>
        <w:tc>
          <w:tcPr/>
          <w:p>
            <w:r/>
          </w:p>
        </w:tc>
        <w:tc>
          <w:tcPr/>
          <w:p>
            <w:r>
              <w:t>LAST UPDATED</w:t>
              <w:br/>
              <w:t>2026年9月11日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版本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1.0  立项与技术评审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评审对象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架构负责人  开发负责人  安全与测试负责人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用途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公司 AI Agent 比赛立项  技术评审  开发实施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Spring Boot  PostgreSQL  MyBatis  Vue 3</w:t>
            </w:r>
          </w:p>
        </w:tc>
      </w:tr>
    </w:tbl>
    <w:p>
      <w:pPr>
        <w:pStyle w:val="Heading1"/>
        <w:pageBreakBefore/>
      </w:pPr>
      <w:r>
        <w:t>文档导览</w:t>
      </w:r>
    </w:p>
    <w:p>
      <w:pPr/>
      <w:r>
        <w:t>立项阅读  第1至3章与第15至17章</w:t>
        <w:br/>
        <w:t>技术评审  第4至14章与第19章</w:t>
        <w:br/>
        <w:t>开发验收  第16章与第20章</w:t>
      </w:r>
    </w:p>
    <w:p>
      <w:pPr>
        <w:spacing w:after="100"/>
      </w:pPr>
      <w:r>
        <w:t>01  项目背景与目标</w:t>
      </w:r>
    </w:p>
    <w:p>
      <w:pPr>
        <w:spacing w:after="100"/>
      </w:pPr>
      <w:r>
        <w:t>02  产品定位与典型场景</w:t>
      </w:r>
    </w:p>
    <w:p>
      <w:pPr>
        <w:spacing w:after="100"/>
      </w:pPr>
      <w:r>
        <w:t>03  设计原则</w:t>
      </w:r>
    </w:p>
    <w:p>
      <w:pPr>
        <w:spacing w:after="100"/>
      </w:pPr>
      <w:r>
        <w:t>04  总体架构</w:t>
      </w:r>
    </w:p>
    <w:p>
      <w:pPr>
        <w:spacing w:after="100"/>
      </w:pPr>
      <w:r>
        <w:t>05  模块设计</w:t>
      </w:r>
    </w:p>
    <w:p>
      <w:pPr>
        <w:spacing w:after="100"/>
      </w:pPr>
      <w:r>
        <w:t>06  节点与关系数据模型</w:t>
      </w:r>
    </w:p>
    <w:p>
      <w:pPr>
        <w:spacing w:after="100"/>
      </w:pPr>
      <w:r>
        <w:t>07  技术栈解析方案</w:t>
      </w:r>
    </w:p>
    <w:p>
      <w:pPr>
        <w:spacing w:after="100"/>
      </w:pPr>
      <w:r>
        <w:t>08  Evidence Chain 设计</w:t>
      </w:r>
    </w:p>
    <w:p>
      <w:pPr>
        <w:spacing w:after="100"/>
      </w:pPr>
      <w:r>
        <w:t>09  Blast Radius 算法与评分</w:t>
      </w:r>
    </w:p>
    <w:p>
      <w:pPr>
        <w:spacing w:after="100"/>
      </w:pPr>
      <w:r>
        <w:t>10  Agent 编排及工具定义</w:t>
      </w:r>
    </w:p>
    <w:p>
      <w:pPr>
        <w:spacing w:after="100"/>
      </w:pPr>
      <w:r>
        <w:t>11  Investigation Case 调查案例模型</w:t>
      </w:r>
    </w:p>
    <w:p>
      <w:pPr>
        <w:spacing w:after="100"/>
      </w:pPr>
      <w:r>
        <w:t>12  API 设计建议</w:t>
      </w:r>
    </w:p>
    <w:p>
      <w:pPr>
        <w:spacing w:after="100"/>
      </w:pPr>
      <w:r>
        <w:t>13  存储方案</w:t>
      </w:r>
    </w:p>
    <w:p>
      <w:pPr>
        <w:spacing w:after="100"/>
      </w:pPr>
      <w:r>
        <w:t>14  安全与权限</w:t>
      </w:r>
    </w:p>
    <w:p>
      <w:pPr>
        <w:spacing w:after="100"/>
      </w:pPr>
      <w:r>
        <w:t>15  MVP 范围</w:t>
      </w:r>
    </w:p>
    <w:p>
      <w:pPr>
        <w:spacing w:after="100"/>
      </w:pPr>
      <w:r>
        <w:t>16  分阶段实施计划</w:t>
      </w:r>
    </w:p>
    <w:p>
      <w:pPr>
        <w:spacing w:after="100"/>
      </w:pPr>
      <w:r>
        <w:t>17  比赛 Demo 流程</w:t>
      </w:r>
    </w:p>
    <w:p>
      <w:pPr>
        <w:spacing w:after="100"/>
      </w:pPr>
      <w:r>
        <w:t>18  后续演进</w:t>
      </w:r>
    </w:p>
    <w:p>
      <w:pPr>
        <w:spacing w:after="100"/>
      </w:pPr>
      <w:r>
        <w:t>19  风险与限制</w:t>
      </w:r>
    </w:p>
    <w:p>
      <w:pPr>
        <w:spacing w:after="100"/>
      </w:pPr>
      <w:r>
        <w:t>20  验收标准</w:t>
      </w:r>
    </w:p>
    <w:p>
      <w:pPr>
        <w:pStyle w:val="Heading1"/>
        <w:keepNext/>
        <w:pageBreakBefore/>
      </w:pPr>
      <w:r>
        <w:t>1  项目背景与目标</w:t>
      </w:r>
    </w:p>
    <w:p>
      <w:pPr>
        <w:keepNext w:val="0"/>
      </w:pPr>
      <w:r>
        <w:t>ArchLens 面向 Spring Boot、PostgreSQL、MyBatis 与 Vue 企业系统，建设以证据为基础的架构考古与变更影响分析能力。建议先交付单项目、固定快照、只读调查的比赛 MVP，再依据真实项目评测扩展。核心交付物是可复查的 Investigation Case：每条影响结论能够回到具体代码、数据库元数据和解析规则。</w:t>
      </w:r>
    </w:p>
    <w:p>
      <w:pPr>
        <w:keepNext w:val="0"/>
      </w:pPr>
      <w:r>
        <w:t>企业系统的依赖通常分散在 Java 调用、Mapper SQL、数据库约束、前端请求与环境配置中。字段改名看似局部，但 SQL、返回对象和调用方可能形成跨层影响。人工调查依赖经验和检索路径，结论容易缺少版本边界、遗漏说明和可复用证据。这里描述的是待解决的问题，不代表已经量化公司的现有损失。</w:t>
      </w:r>
    </w:p>
    <w:p>
      <w:pPr>
        <w:pStyle w:val="Heading2"/>
        <w:keepNext/>
      </w:pPr>
      <w:r>
        <w:t>目标与立项价值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656"/>
        <w:gridCol w:w="4536"/>
        <w:gridCol w:w="4032"/>
      </w:tblGrid>
      <w:tr>
        <w:trPr>
          <w:cantSplit/>
          <w:tblHeader/>
        </w:trPr>
        <w:tc>
          <w:tcPr>
            <w:tcW w:type="dxa" w:w="165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交付能力</w:t>
            </w:r>
          </w:p>
        </w:tc>
        <w:tc>
          <w:tcPr>
            <w:tcW w:type="dxa" w:w="4032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度量方式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架构考古</w:t>
            </w:r>
          </w:p>
        </w:tc>
        <w:tc>
          <w:tcPr>
            <w:tcW w:type="dxa" w:w="453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从入口 API 或数据库列重建跨层依赖</w:t>
            </w:r>
          </w:p>
        </w:tc>
        <w:tc>
          <w:tcPr>
            <w:tcW w:type="dxa" w:w="403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黄金样例的端到端路径召回率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变更评估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区分直接依赖、潜在传播与待确认边界</w:t>
            </w:r>
          </w:p>
        </w:tc>
        <w:tc>
          <w:tcPr>
            <w:tcW w:type="dxa" w:w="403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影响结果准确率与漏报复核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工程闭环</w:t>
            </w:r>
          </w:p>
        </w:tc>
        <w:tc>
          <w:tcPr>
            <w:tcW w:type="dxa" w:w="453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生成风险、任务依赖和回归范围</w:t>
            </w:r>
          </w:p>
        </w:tc>
        <w:tc>
          <w:tcPr>
            <w:tcW w:type="dxa" w:w="403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计划条目能回链到影响项或规则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可信调查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快照锁定、证据定位、过程可审计</w:t>
            </w:r>
          </w:p>
        </w:tc>
        <w:tc>
          <w:tcPr>
            <w:tcW w:type="dxa" w:w="403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证据可定位率与固定版本重放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立项条件与决策边界</w:t>
      </w:r>
    </w:p>
    <w:p>
      <w:pPr>
        <w:keepNext w:val="0"/>
      </w:pPr>
      <w:r>
        <w:t>评审需要确定样例仓库与数据库元数据访问范围、模型部署策略、参赛截止日期以及至少一名业务架构复核人。第16章工期和第20章指标是建议的规划基线，需在基准集运行后确认，不能作为已实现性能或收益。</w:t>
      </w:r>
    </w:p>
    <w:p>
      <w:pPr>
        <w:keepNext w:val="0"/>
      </w:pPr>
      <w:r>
        <w:t>MVP 不自动修改仓库、不执行迁移、不部署应用，也不宣称覆盖所有运行时依赖。没有发现边只能说明本次扫描范围内未发现证据，不能证明没有影响。</w:t>
      </w:r>
    </w:p>
    <w:p>
      <w:pPr>
        <w:pStyle w:val="Heading1"/>
        <w:keepNext/>
        <w:pageBreakBefore w:val="0"/>
      </w:pPr>
      <w:r>
        <w:t>2  产品定位与典型场景</w:t>
      </w:r>
    </w:p>
    <w:p>
      <w:pPr>
        <w:keepNext w:val="0"/>
      </w:pPr>
      <w:r>
        <w:t>产品定位为 Architecture Forensics Agent：使用工具自主调查企业系统结构，并把变更假设转化为有来源、可质疑、可追踪的调查案例。主要用户是架构师、开发负责人和测试负责人；评审人通过证据判断建议是否成立。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512"/>
        <w:gridCol w:w="3816"/>
        <w:gridCol w:w="4896"/>
      </w:tblGrid>
      <w:tr>
        <w:trPr>
          <w:cantSplit/>
          <w:tblHeader/>
        </w:trPr>
        <w:tc>
          <w:tcPr>
            <w:tcW w:type="dxa" w:w="1512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81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89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15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字段替换</w:t>
            </w:r>
          </w:p>
        </w:tc>
        <w:tc>
          <w:tcPr>
            <w:tcW w:type="dxa" w:w="381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public.device.event_id 改用 global_id</w:t>
            </w:r>
          </w:p>
        </w:tc>
        <w:tc>
          <w:tcPr>
            <w:tcW w:type="dxa" w:w="489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SQL 与映射影响、接口兼容边界、迁移前提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接口变更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GET /api/devices/{id} 删除字段 eventId</w:t>
            </w:r>
          </w:p>
        </w:tc>
        <w:tc>
          <w:tcPr>
            <w:tcW w:type="dxa" w:w="489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后端响应映射、前端消费点、契约测试</w:t>
            </w:r>
          </w:p>
        </w:tc>
      </w:tr>
      <w:tr>
        <w:trPr>
          <w:cantSplit/>
        </w:trPr>
        <w:tc>
          <w:tcPr>
            <w:tcW w:type="dxa" w:w="15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方法签名变更</w:t>
            </w:r>
          </w:p>
        </w:tc>
        <w:tc>
          <w:tcPr>
            <w:tcW w:type="dxa" w:w="381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DeviceService.find(String) 参数调整</w:t>
            </w:r>
          </w:p>
        </w:tc>
        <w:tc>
          <w:tcPr>
            <w:tcW w:type="dxa" w:w="489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已解析调用者、接口实现候选、编译验证范围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系统接手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设备详情页从哪里取数</w:t>
            </w:r>
          </w:p>
        </w:tc>
        <w:tc>
          <w:tcPr>
            <w:tcW w:type="dxa" w:w="489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页面到 API、Service、Mapper、Column 路径</w:t>
            </w:r>
          </w:p>
        </w:tc>
      </w:tr>
      <w:tr>
        <w:trPr>
          <w:cantSplit/>
        </w:trPr>
        <w:tc>
          <w:tcPr>
            <w:tcW w:type="dxa" w:w="15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评审复用</w:t>
            </w:r>
          </w:p>
        </w:tc>
        <w:tc>
          <w:tcPr>
            <w:tcW w:type="dxa" w:w="381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重看某次字段改造的依据</w:t>
            </w:r>
          </w:p>
        </w:tc>
        <w:tc>
          <w:tcPr>
            <w:tcW w:type="dxa" w:w="489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原快照、报告版本、人工修正和未决项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贯穿示例的语义</w:t>
      </w:r>
    </w:p>
    <w:p>
      <w:pPr>
        <w:keepNext w:val="0"/>
      </w:pPr>
      <w:r>
        <w:t>event_id → global_id 可能是纯物理列改名，也可能是业务标识替换。系统必须先明确类型、唯一性、空值、关联方式和对外 JSON 字段是否变化。不能因为名称类似就推断 GLOBALID 是 UUID，也不能推断原字段与新字段一一对应。</w:t>
      </w:r>
    </w:p>
    <w:p>
      <w:pPr>
        <w:keepNext w:val="0"/>
      </w:pPr>
      <w:r>
        <w:t>若 SQL 改为 global_id AS event_id，Java 属性与 API 响应字段均保持不变，则页面仍位于依赖链上，但未必需要修改。输出应同时包含 dependencyPresent=true、changeRequired=UNKNOWN 或 NO，以及“别名维持映射”的证据。</w:t>
      </w:r>
    </w:p>
    <w:p>
      <w:pPr>
        <w:pStyle w:val="Heading2"/>
        <w:keepNext/>
      </w:pPr>
      <w:r>
        <w:t>产品差异与成功判据</w:t>
      </w:r>
    </w:p>
    <w:p>
      <w:pPr>
        <w:keepNext w:val="0"/>
      </w:pPr>
      <w:r>
        <w:t>代码搜索负责找文本，图谱负责连接语义，Agent 负责选择调查步骤与归纳建议。ArchLens 的差异化来自跨层证据、变更语义传播和诚实展示未知项。比赛展示应比较人工关键字搜索与同一基准上的取证结果；收益需实际计时，不使用虚构的节省比例。</w:t>
      </w:r>
    </w:p>
    <w:p>
      <w:pPr>
        <w:pStyle w:val="Heading1"/>
        <w:keepNext/>
        <w:pageBreakBefore w:val="0"/>
      </w:pPr>
      <w:r>
        <w:t>3  设计原则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728"/>
        <w:gridCol w:w="4752"/>
        <w:gridCol w:w="3744"/>
      </w:tblGrid>
      <w:tr>
        <w:trPr>
          <w:cantSplit/>
          <w:tblHeader/>
        </w:trPr>
        <w:tc>
          <w:tcPr>
            <w:tcW w:type="dxa" w:w="172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752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工程约束</w:t>
            </w:r>
          </w:p>
        </w:tc>
        <w:tc>
          <w:tcPr>
            <w:tcW w:type="dxa" w:w="374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失败时行为</w:t>
            </w:r>
          </w:p>
        </w:tc>
      </w:tr>
      <w:tr>
        <w:trPr>
          <w:cantSplit/>
        </w:trPr>
        <w:tc>
          <w:tcPr>
            <w:tcW w:type="dxa" w:w="17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证据先于结论</w:t>
            </w:r>
          </w:p>
        </w:tc>
        <w:tc>
          <w:tcPr>
            <w:tcW w:type="dxa" w:w="475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确定关系来自解析器或可追溯元数据</w:t>
            </w:r>
          </w:p>
        </w:tc>
        <w:tc>
          <w:tcPr>
            <w:tcW w:type="dxa" w:w="37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无证据结论进入假设列表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快照一致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Case 固定 repository SHA 与 schema 摘要</w:t>
            </w:r>
          </w:p>
        </w:tc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新扫描不改写旧 Case</w:t>
            </w:r>
          </w:p>
        </w:tc>
      </w:tr>
      <w:tr>
        <w:trPr>
          <w:cantSplit/>
        </w:trPr>
        <w:tc>
          <w:tcPr>
            <w:tcW w:type="dxa" w:w="17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语义驱动传播</w:t>
            </w:r>
          </w:p>
        </w:tc>
        <w:tc>
          <w:tcPr>
            <w:tcW w:type="dxa" w:w="475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变更类型决定关系方向和传播规则</w:t>
            </w:r>
          </w:p>
        </w:tc>
        <w:tc>
          <w:tcPr>
            <w:tcW w:type="dxa" w:w="37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不支持类型返回明确错误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依赖与影响分离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发现依赖不直接判定必须改代码</w:t>
            </w:r>
          </w:p>
        </w:tc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保留兼容边界与人工验证</w:t>
            </w:r>
          </w:p>
        </w:tc>
      </w:tr>
      <w:tr>
        <w:trPr>
          <w:cantSplit/>
        </w:trPr>
        <w:tc>
          <w:tcPr>
            <w:tcW w:type="dxa" w:w="17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确定性计算</w:t>
            </w:r>
          </w:p>
        </w:tc>
        <w:tc>
          <w:tcPr>
            <w:tcW w:type="dxa" w:w="475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节点、路径、评分由版本化算法产生</w:t>
            </w:r>
          </w:p>
        </w:tc>
        <w:tc>
          <w:tcPr>
            <w:tcW w:type="dxa" w:w="37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LLM 不改写图事实与分数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显式不完整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解析失败、预算截断、不可见资产均记录</w:t>
            </w:r>
          </w:p>
        </w:tc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返回 PARTIAL 及缺失原因</w:t>
            </w:r>
          </w:p>
        </w:tc>
      </w:tr>
      <w:tr>
        <w:trPr>
          <w:cantSplit/>
        </w:trPr>
        <w:tc>
          <w:tcPr>
            <w:tcW w:type="dxa" w:w="17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最小权限</w:t>
            </w:r>
          </w:p>
        </w:tc>
        <w:tc>
          <w:tcPr>
            <w:tcW w:type="dxa" w:w="475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只读来源、按项目授权、工具参数校验</w:t>
            </w:r>
          </w:p>
        </w:tc>
        <w:tc>
          <w:tcPr>
            <w:tcW w:type="dxa" w:w="37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权限不足即拒绝，不补猜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渐进扩展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插件产生统一中间表示与证据</w:t>
            </w:r>
          </w:p>
        </w:tc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新插件通过一致性基准再启用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关键架构决策</w:t>
      </w:r>
    </w:p>
    <w:p>
      <w:pPr>
        <w:keepNext w:val="0"/>
      </w:pPr>
      <w:r>
        <w:t>ADR 01：采用 Java 模块化单体加独立分析 Worker；前端解析使用 Node Worker。首先控制部署复杂度，模块接口为后续拆分服务保留边界。</w:t>
      </w:r>
    </w:p>
    <w:p>
      <w:pPr>
        <w:keepNext w:val="0"/>
      </w:pPr>
      <w:r>
        <w:t>ADR 02：PostgreSQL 是扫描、证据、标准化图记录和 Case 的权威存储，Neo4j 是可重建的图查询投影。接受发布前的投影延迟，拒绝同一次调查读取混合快照。</w:t>
      </w:r>
    </w:p>
    <w:p>
      <w:pPr>
        <w:keepNext w:val="0"/>
      </w:pPr>
      <w:r>
        <w:t>ADR 03：单一 Investigator 状态机编排多个专业角色。Dependency、Risk、Test、Reviewer 是职责划分，不要求独立模型进程；有性能证据后再引入并行角色调用。</w:t>
      </w:r>
    </w:p>
    <w:p>
      <w:pPr>
        <w:keepNext w:val="0"/>
      </w:pPr>
      <w:r>
        <w:t>ADR 04：MVP 优先 MyBatis，不把 JPA 深度关系解析纳入同批验收；为 Entity 注解保留节点能力。版本组合通过兼容性试验锁定，避免仅因“最新版本”而升级。</w:t>
      </w:r>
    </w:p>
    <w:p>
      <w:pPr>
        <w:pStyle w:val="Heading1"/>
        <w:keepNext/>
        <w:pageBreakBefore w:val="0"/>
      </w:pPr>
      <w:r>
        <w:t>4  总体架构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User / Reviewer</w:t>
        <w:br/>
        <w:t xml:space="preserve">       | HTTPS + Project Authorization</w:t>
        <w:br/>
        <w:t xml:space="preserve">       v</w:t>
        <w:br/>
        <w:t>Vue Web ----&gt; Spring Boot API ----&gt; Case Service</w:t>
        <w:br/>
        <w:t xml:space="preserve">                    |                    |</w:t>
        <w:br/>
        <w:t xml:space="preserve">             Scan Coordinator     Investigator</w:t>
        <w:br/>
        <w:t xml:space="preserve">                    |                    | Tool Gateway</w:t>
        <w:br/>
        <w:t xml:space="preserve">      +-------------+----------+         v</w:t>
        <w:br/>
        <w:t xml:space="preserve">      | Java/SQL Worker        |   Graph / Evidence / Blast</w:t>
        <w:br/>
        <w:t xml:space="preserve">      | Node Vue Worker        |         |</w:t>
        <w:br/>
        <w:t xml:space="preserve">      | PostgreSQL Collector   |         |</w:t>
        <w:br/>
        <w:t xml:space="preserve">      +-------------+----------+         |</w:t>
        <w:br/>
        <w:t xml:space="preserve">                    v                    |</w:t>
        <w:br/>
        <w:t xml:space="preserve">            Normalize + Validate         |</w:t>
        <w:br/>
        <w:t xml:space="preserve">                    v                    v</w:t>
        <w:br/>
        <w:t xml:space="preserve"> PostgreSQL [Snapshots / Facts / Evidence / Cases / Outbox]</w:t>
        <w:br/>
        <w:t xml:space="preserve">                    | publish immutable projection</w:t>
        <w:br/>
        <w:t xml:space="preserve">                    v</w:t>
        <w:br/>
        <w:t xml:space="preserve">                Neo4j [Architecture Graph]</w:t>
      </w:r>
    </w:p>
    <w:p>
      <w:pPr>
        <w:keepNext w:val="0"/>
      </w:pPr>
      <w:r>
        <w:t>控制面接受项目注册、扫描与调查请求；数据面在隔离 Worker 中读取固定来源，生成统一 IR，再合并符号、验证证据、写入标准化图记录。Agent 仅通过 Tool Gateway 读取已经发布的快照。源文件内容不是控制指令。</w:t>
      </w:r>
    </w:p>
    <w:p>
      <w:pPr>
        <w:pStyle w:val="Heading2"/>
        <w:keepNext/>
      </w:pPr>
      <w:r>
        <w:t>扫描与发布生命周期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QUEUED -&gt; COLLECTING -&gt; ANALYZING -&gt; VALIDATING</w:t>
        <w:br/>
        <w:t xml:space="preserve">       -&gt; PROJECTING -&gt; READY</w:t>
        <w:br/>
        <w:t xml:space="preserve">                    \-&gt; PARTIAL / FAILED / CANCELLED</w:t>
      </w:r>
    </w:p>
    <w:p>
      <w:pPr>
        <w:keepNext w:val="0"/>
      </w:pPr>
      <w:r>
        <w:t>扫描完成后先写 manifest：来源版本、schemaHash、文件数、节点边数、解析器版本、失败清单和摘要。Neo4j 投影完成并核对 manifest 后才发布 READY。允许发布 PARTIAL，但用户必须看到哪些能力缺失；关键来源整体不可用时禁止宣称完整链路。</w:t>
      </w:r>
    </w:p>
    <w:p>
      <w:pPr>
        <w:keepNext w:val="0"/>
      </w:pPr>
      <w:r>
        <w:t>调查固定 snapshotId、ruleVersion、modelConfigVersion。数据源扫描可异步进行，但不自动切换调查中的快照。API 返回 traceId，Worker 记录 scanId 和 stage；指标包含解析成功率、未知符号率、投影延迟、查询截断率和模型调用成本。</w:t>
      </w:r>
    </w:p>
    <w:p>
      <w:pPr>
        <w:pStyle w:val="Heading1"/>
        <w:keepNext/>
        <w:pageBreakBefore w:val="0"/>
      </w:pPr>
      <w:r>
        <w:t>5  模块设计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512"/>
        <w:gridCol w:w="4536"/>
        <w:gridCol w:w="4176"/>
      </w:tblGrid>
      <w:tr>
        <w:trPr>
          <w:cantSplit/>
          <w:tblHeader/>
        </w:trPr>
        <w:tc>
          <w:tcPr>
            <w:tcW w:type="dxa" w:w="1512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输入与核心职责</w:t>
            </w:r>
          </w:p>
        </w:tc>
        <w:tc>
          <w:tcPr>
            <w:tcW w:type="dxa" w:w="417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输出与故障处理</w:t>
            </w:r>
          </w:p>
        </w:tc>
      </w:tr>
      <w:tr>
        <w:trPr>
          <w:cantSplit/>
        </w:trPr>
        <w:tc>
          <w:tcPr>
            <w:tcW w:type="dxa" w:w="15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Collector</w:t>
            </w:r>
          </w:p>
        </w:tc>
        <w:tc>
          <w:tcPr>
            <w:tcW w:type="dxa" w:w="453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仓库快照、schema 连接；枚举与读取</w:t>
            </w:r>
          </w:p>
        </w:tc>
        <w:tc>
          <w:tcPr>
            <w:tcW w:type="dxa" w:w="41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SourceManifest；单来源失败记诊断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Analyzer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源码及规则；AST、符号解析、SQL绑定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NodeIR / EdgeIR / EvidenceIR；保留 unresolved</w:t>
            </w:r>
          </w:p>
        </w:tc>
      </w:tr>
      <w:tr>
        <w:trPr>
          <w:cantSplit/>
        </w:trPr>
        <w:tc>
          <w:tcPr>
            <w:tcW w:type="dxa" w:w="15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Graph</w:t>
            </w:r>
          </w:p>
        </w:tc>
        <w:tc>
          <w:tcPr>
            <w:tcW w:type="dxa" w:w="453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IR；去重、引用校验、快照投影</w:t>
            </w:r>
          </w:p>
        </w:tc>
        <w:tc>
          <w:tcPr>
            <w:tcW w:type="dxa" w:w="41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受限邻接与路径查询；投影失败可重放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源码哈希及定位；校验、裁剪、脱敏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证据包与有效性；不匹配标 STALE</w:t>
            </w:r>
          </w:p>
        </w:tc>
      </w:tr>
      <w:tr>
        <w:trPr>
          <w:cantSplit/>
        </w:trPr>
        <w:tc>
          <w:tcPr>
            <w:tcW w:type="dxa" w:w="15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Blast Radius</w:t>
            </w:r>
          </w:p>
        </w:tc>
        <w:tc>
          <w:tcPr>
            <w:tcW w:type="dxa" w:w="453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变更描述及图；传播、评分、截断</w:t>
            </w:r>
          </w:p>
        </w:tc>
        <w:tc>
          <w:tcPr>
            <w:tcW w:type="dxa" w:w="41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影响集合、路径、未知项；结果确定性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Agent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意图与工具结果；补证、推理、复核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结构化假设、风险与计划；预算耗尽保留成果</w:t>
            </w:r>
          </w:p>
        </w:tc>
      </w:tr>
      <w:tr>
        <w:trPr>
          <w:cantSplit/>
        </w:trPr>
        <w:tc>
          <w:tcPr>
            <w:tcW w:type="dxa" w:w="15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Case</w:t>
            </w:r>
          </w:p>
        </w:tc>
        <w:tc>
          <w:tcPr>
            <w:tcW w:type="dxa" w:w="453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调查状态和版本；审批、任务、报告</w:t>
            </w:r>
          </w:p>
        </w:tc>
        <w:tc>
          <w:tcPr>
            <w:tcW w:type="dxa" w:w="41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不可变修订与审计；乐观锁防覆盖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模块接口与代码组织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archlens-server    project / scan / case / auth / report</w:t>
        <w:br/>
        <w:t>archlens-analyzer  java / spring / mybatis / pg / vue</w:t>
        <w:br/>
        <w:t>archlens-core      graph / evidence / blast / contracts</w:t>
        <w:br/>
        <w:t>archlens-agent     workflow / tools / reviewer</w:t>
        <w:br/>
        <w:t>archlens-web       graph / investigation / evidence</w:t>
        <w:br/>
        <w:br/>
        <w:t>collect(SourceSpec, SnapshotContext) -&gt; SourceManifest</w:t>
        <w:br/>
        <w:t>analyze(SourceArtifact, AnalyzerContext) -&gt; AnalysisBatch</w:t>
        <w:br/>
        <w:t>publish(snapshotId, expectedManifestHash) -&gt; ProjectionStatus</w:t>
        <w:br/>
        <w:t>investigate(ChangeSpec, SnapshotRef) -&gt; CaseRevision</w:t>
      </w:r>
    </w:p>
    <w:p>
      <w:pPr>
        <w:keepNext w:val="0"/>
      </w:pPr>
      <w:r>
        <w:t>Collector 不直接写 Neo4j；Analyzer 不调用 LLM 生成确定关系；Graph 不承担业务审批；Case 不持有数据库连接密钥。批次应带 schemaVersion、idempotencyKey、diagnostics 和统计量，使失败可以从文件或批次级恢复。</w:t>
      </w:r>
    </w:p>
    <w:p>
      <w:pPr>
        <w:keepNext w:val="0"/>
      </w:pPr>
      <w:r>
        <w:t>任务持有租约并定期续期；Worker 中断后租约超时可重领。网络瞬态错误最多重试3次并退避，确定的语法错误不重复重试。取消请求在批次边界检查，未完整发布的快照不成为默认读取目标。</w:t>
      </w:r>
    </w:p>
    <w:p>
      <w:pPr>
        <w:pStyle w:val="Heading1"/>
        <w:keepNext/>
        <w:pageBreakBefore w:val="0"/>
      </w:pPr>
      <w:r>
        <w:t>6  节点与关系数据模型</w:t>
      </w:r>
    </w:p>
    <w:p>
      <w:pPr>
        <w:keepNext w:val="0"/>
      </w:pPr>
      <w:r>
        <w:t>实体身份必须区分逻辑对象和快照实例。logicalKey 用于同一命名对象的跨扫描关联；nodeId = SHA256(projectId | snapshotId | type | logicalKey)。改名通常形成新 logicalKey，后续通过显式 RENAMED_FROM 记录跨版本映射，不能只靠行号或相似名称合并。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448"/>
        <w:gridCol w:w="3600"/>
        <w:gridCol w:w="4176"/>
      </w:tblGrid>
      <w:tr>
        <w:trPr>
          <w:cantSplit/>
          <w:tblHeader/>
        </w:trPr>
        <w:tc>
          <w:tcPr>
            <w:tcW w:type="dxa" w:w="244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60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类型与约束</w:t>
            </w:r>
          </w:p>
        </w:tc>
        <w:tc>
          <w:tcPr>
            <w:tcW w:type="dxa" w:w="417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projectId / snapshotId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UUID，必填</w:t>
            </w:r>
          </w:p>
        </w:tc>
        <w:tc>
          <w:tcPr>
            <w:tcW w:type="dxa" w:w="41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所有查询与唯一键的隔离边界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nodeId / logicalKey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hash / string，必填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Java 含模块、全限定名、参数签名</w:t>
            </w:r>
          </w:p>
        </w:tc>
      </w:tr>
      <w:tr>
        <w:trPr>
          <w:cantSplit/>
        </w:trPr>
        <w:tc>
          <w:tcPr>
            <w:tcW w:type="dxa" w:w="244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type / name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enum / string</w:t>
            </w:r>
          </w:p>
        </w:tc>
        <w:tc>
          <w:tcPr>
            <w:tcW w:type="dxa" w:w="41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METHOD、COLUMN、API 等受控类型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sourceRef / attributes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JSON，受 schema 校验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位置、角色、声明类型；禁止任意敏感数据</w:t>
            </w:r>
          </w:p>
        </w:tc>
      </w:tr>
      <w:tr>
        <w:trPr>
          <w:cantSplit/>
        </w:trPr>
        <w:tc>
          <w:tcPr>
            <w:tcW w:type="dxa" w:w="244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relationId / from / to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hash / nodeId</w:t>
            </w:r>
          </w:p>
        </w:tc>
        <w:tc>
          <w:tcPr>
            <w:tcW w:type="dxa" w:w="41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同快照；不存在的端点不进入确定图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kind / condition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enum / JSON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关系语义与动态分支条件</w:t>
            </w:r>
          </w:p>
        </w:tc>
      </w:tr>
      <w:tr>
        <w:trPr>
          <w:cantSplit/>
        </w:trPr>
        <w:tc>
          <w:tcPr>
            <w:tcW w:type="dxa" w:w="244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evidenceIds / certainty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array / enum</w:t>
            </w:r>
          </w:p>
        </w:tc>
        <w:tc>
          <w:tcPr>
            <w:tcW w:type="dxa" w:w="41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每条确定边至少一条有效证据</w:t>
            </w:r>
          </w:p>
        </w:tc>
      </w:tr>
    </w:tbl>
    <w:p>
      <w:pPr>
        <w:keepNext w:val="0"/>
      </w:pP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464"/>
        <w:gridCol w:w="3600"/>
        <w:gridCol w:w="2160"/>
      </w:tblGrid>
      <w:tr>
        <w:trPr>
          <w:cantSplit/>
          <w:tblHeader/>
        </w:trPr>
        <w:tc>
          <w:tcPr>
            <w:tcW w:type="dxa" w:w="446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关系及方向</w:t>
            </w:r>
          </w:p>
        </w:tc>
        <w:tc>
          <w:tcPr>
            <w:tcW w:type="dxa" w:w="360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16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默认影响遍历</w:t>
            </w:r>
          </w:p>
        </w:tc>
      </w:tr>
      <w:tr>
        <w:trPr>
          <w:cantSplit/>
        </w:trPr>
        <w:tc>
          <w:tcPr>
            <w:tcW w:type="dxa" w:w="446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METHOD -&gt; METHOD  CALLS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调用者依赖被调用者</w:t>
            </w:r>
          </w:p>
        </w:tc>
        <w:tc>
          <w:tcPr>
            <w:tcW w:type="dxa" w:w="21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反向</w:t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METHOD -&gt; COLUMN  READS / WRITES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SQL 语句映射的方法访问列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反向</w:t>
            </w:r>
          </w:p>
        </w:tc>
      </w:tr>
      <w:tr>
        <w:trPr>
          <w:cantSplit/>
        </w:trPr>
        <w:tc>
          <w:tcPr>
            <w:tcW w:type="dxa" w:w="446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API -&gt; METHOD  HANDLED_BY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端点由控制器方法处理</w:t>
            </w:r>
          </w:p>
        </w:tc>
        <w:tc>
          <w:tcPr>
            <w:tcW w:type="dxa" w:w="21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反向</w:t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FUNCTION -&gt; API  CONSUMES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前端函数发起请求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反向</w:t>
            </w:r>
          </w:p>
        </w:tc>
      </w:tr>
      <w:tr>
        <w:trPr>
          <w:cantSplit/>
        </w:trPr>
        <w:tc>
          <w:tcPr>
            <w:tcW w:type="dxa" w:w="446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PAGE -&gt; FUNCTION  CALLS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页面调用请求封装</w:t>
            </w:r>
          </w:p>
        </w:tc>
        <w:tc>
          <w:tcPr>
            <w:tcW w:type="dxa" w:w="21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反向</w:t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FIELD -&gt; COLUMN  MAPS_TO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属性映射到数据库列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按变更规则反向</w:t>
            </w:r>
          </w:p>
        </w:tc>
      </w:tr>
      <w:tr>
        <w:trPr>
          <w:cantSplit/>
        </w:trPr>
        <w:tc>
          <w:tcPr>
            <w:tcW w:type="dxa" w:w="446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TABLE -&gt; COLUMN  CONTAINS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归属结构，不代表业务依赖</w:t>
            </w:r>
          </w:p>
        </w:tc>
        <w:tc>
          <w:tcPr>
            <w:tcW w:type="dxa" w:w="21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默认不传播</w:t>
            </w:r>
          </w:p>
        </w:tc>
      </w:tr>
      <w:tr>
        <w:trPr>
          <w:cantSplit/>
        </w:trPr>
        <w:tc>
          <w:tcPr>
            <w:tcW w:type="dxa" w:w="44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COLUMN -&gt; COLUMN  FK_TO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外键引用目标列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目标变更时反向</w:t>
            </w:r>
          </w:p>
        </w:tc>
      </w:tr>
    </w:tbl>
    <w:p>
      <w:pPr>
        <w:keepNext w:val="0"/>
      </w:pPr>
    </w:p>
    <w:p>
      <w:pPr>
        <w:keepNext w:val="0"/>
      </w:pPr>
      <w:r>
        <w:t>节点类型还包括 SYSTEM、MODULE、CLASS、FIELD、TABLE、VIEW、SQL_STATEMENT、VUE_PAGE、COMPONENT、FUNCTION、CONFIG。JOB、TOPIC、GIS_LAYER、EXTERNAL_API 是扩展类型。API 身份须包含服务、HTTP方法、归一化路径和必要的 params/headers/consumes 区分条件。</w:t>
      </w:r>
    </w:p>
    <w:p>
      <w:pPr>
        <w:pStyle w:val="Heading1"/>
        <w:keepNext/>
        <w:pageBreakBefore w:val="0"/>
      </w:pPr>
      <w:r>
        <w:t>7  技术栈解析方案</w:t>
      </w:r>
    </w:p>
    <w:p>
      <w:pPr>
        <w:pStyle w:val="Heading2"/>
        <w:keepNext/>
      </w:pPr>
      <w:r>
        <w:t>Java 与 Spring</w:t>
      </w:r>
    </w:p>
    <w:p>
      <w:pPr>
        <w:keepNext w:val="0"/>
      </w:pPr>
      <w:r>
        <w:t>JavaParser 与 Symbol Solver 负责 AST 和符号绑定。[R1] 首轮建立类、方法、字段与继承索引；第二轮解析方法调用。方法键使用 fullyQualifiedClass#method(parameterTypes)，保留泛型擦除前信息、构造器和重载签名。解析 classpath 来自受控依赖清单，不执行来源仓库的 Maven 插件或注解处理器。</w:t>
      </w:r>
    </w:p>
    <w:p>
      <w:pPr>
        <w:keepNext w:val="0"/>
      </w:pPr>
      <w:r>
        <w:t>Spring Analyzer 识别 Controller、Service、Repository、Bean、Autowired、Resource 和构造器注入。把类级与方法级映射合成 API，并处理映射数组与条件。[R2] Profile、Conditional、Qualifier、多实现与代理可能使候选不唯一：输出候选边及生效条件；只有明确解析的调用目标进入 confirmed 集合。</w:t>
      </w:r>
    </w:p>
    <w:p>
      <w:pPr>
        <w:keepNext w:val="0"/>
      </w:pPr>
      <w:r>
        <w:t>MVP 识别直接或一层组合映射注解；更深元注解、反射、运行时 Bean 注册、AOP 修改与复杂泛型标 unresolved。配置中的 context-path 与服务网关前缀分别保存，不能无依据拼接部署地址。</w:t>
      </w:r>
    </w:p>
    <w:p>
      <w:pPr>
        <w:pStyle w:val="Heading2"/>
        <w:keepNext/>
      </w:pPr>
      <w:r>
        <w:t>MyBatis 与 SQL</w:t>
      </w:r>
    </w:p>
    <w:p>
      <w:pPr>
        <w:keepNext w:val="0"/>
      </w:pPr>
      <w:r>
        <w:t>安全 XML 解析器禁用外部实体和网络 DTD，用 namespace + statement id 绑定 Mapper 方法。解析 resultMap、resultType、sql/include、注解 SQL 和增删改查；JSqlParser 生成 SQL AST 后按作用域绑定表、别名、列、CTE 与子查询。[R3][R4] resultMap 显式映射优先，自动驼峰映射必须读取实际配置。</w:t>
      </w:r>
    </w:p>
    <w:p>
      <w:pPr>
        <w:keepNext w:val="0"/>
      </w:pPr>
      <w:r>
        <w:t>动态 SQL 的 if/choose/foreach/trim/where/set 保留条件树。可解析分支取依赖并集，并标注 branchCondition；不把分支数多于上限的组合穷举。#{value} 仅作值占位符；${table} 等动态标识符无法确定时输出 unresolvedIdentifier，不将字符串当真实表名。include 循环与自定义 LanguageDriver 产生诊断。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for statement in mapper.statements:</w:t>
        <w:br/>
        <w:t xml:space="preserve">    tree = expandIncludes(statement, cycleGuard=True)</w:t>
        <w:br/>
        <w:t xml:space="preserve">    fragments = conditionalFragments(tree, budget=64)</w:t>
        <w:br/>
        <w:t xml:space="preserve">    for fragment in fragments:</w:t>
        <w:br/>
        <w:t xml:space="preserve">        ast = parseSQL(fragment.normalizedSQL)</w:t>
        <w:br/>
        <w:t xml:space="preserve">        refs = bindColumns(ast, schemaSnapshot)</w:t>
        <w:br/>
        <w:t xml:space="preserve">        emit(refs, condition=fragment.guard, sourceMap=fragment.map)</w:t>
        <w:br/>
        <w:t xml:space="preserve">    emitUnknowns(fragments.unresolved)</w:t>
      </w:r>
    </w:p>
    <w:p>
      <w:pPr>
        <w:keepNext w:val="0"/>
      </w:pPr>
      <w:r>
        <w:t>SELECT * 根据同一 schema 快照展开，同时记录星号证据。未限定列在多表中同名时保留候选，不能任取一个。PostgreSQL 未加引号标识符按其折叠规则规范化，加双引号名称保留大小写；search_path 未知时不猜 schema。</w:t>
      </w:r>
    </w:p>
    <w:p>
      <w:pPr>
        <w:pStyle w:val="Heading2"/>
        <w:keepNext/>
      </w:pPr>
      <w:r>
        <w:t>PostgreSQL 与 Vue</w:t>
      </w:r>
    </w:p>
    <w:p>
      <w:pPr>
        <w:keepNext w:val="0"/>
      </w:pPr>
      <w:r>
        <w:t>通过 information_schema 与 pg_catalog 采集 schema、表、列、类型、默认值、约束、索引、视图定义和数据库登记的依赖。[R5] 使用只读、短事务获取一致的元数据，并记录采集时间、数据库标识和摘要。数据库元数据与 Git 提交不是天然原子快照：通过发布清单关联，缺少关联时标记 alignment=UNVERIFIED。</w:t>
      </w:r>
    </w:p>
    <w:p>
      <w:pPr>
        <w:keepNext w:val="0"/>
      </w:pPr>
      <w:r>
        <w:t>函数、触发器定义可采集，但字符串动态 SQL 与函数体内部依赖不保证由目录完整登记。MVP 不执行函数验证，不读取业务记录；复杂视图列血缘列为扩展项。生产账号不可见对象作为 scope gap，而不是不存在。</w:t>
      </w:r>
    </w:p>
    <w:p>
      <w:pPr>
        <w:keepNext w:val="0"/>
      </w:pPr>
      <w:r>
        <w:t>Vue 使用 @vue/compiler-sfc 切分 template、script、script setup，再以 Babel parser 解析 JS/TS。[R6][R7] 解析 imports、路由到页面、页面到函数、axios/fetch 封装及可静态求值的 URL。通过服务映射、baseURL、代理前缀、HTTP 方法与路径模板匹配后端 API；不同服务同路径不能合并。</w:t>
      </w:r>
    </w:p>
    <w:p>
      <w:pPr>
        <w:keepNext w:val="0"/>
      </w:pPr>
      <w:r>
        <w:t>示例 /devices/${id} 可归一化为 /devices/{param}，但只有配置和端点匹配唯一时才确认 CONSUMES。运行时字符串、动态导入、拦截器重写地址、生成客户端不完整时输出候选。AST 行列号须映射回 SFC 原文件偏移；只记录编译后代码位置不满足证据验收。</w:t>
      </w:r>
    </w:p>
    <w:p>
      <w:pPr>
        <w:pStyle w:val="Heading1"/>
        <w:keepNext/>
        <w:pageBreakBefore w:val="0"/>
      </w:pPr>
      <w:r>
        <w:t>8  Evidence Chain 设计</w:t>
      </w:r>
    </w:p>
    <w:p>
      <w:pPr>
        <w:keepNext w:val="0"/>
      </w:pPr>
      <w:r>
        <w:t>Evidence 是单条可验证事实的来源；Evidence Chain 是按关系连接的证据序列。链上每条边都有独立 evidenceId，Case 的结论引用 pathId 与证据集合。哈希保证内容一致性，不保证解析器判断必然正确。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示例或约束</w:t>
            </w:r>
          </w:p>
        </w:tc>
      </w:tr>
      <w:tr>
        <w:trPr>
          <w:cantSplit/>
        </w:trPr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evidenceId / snapshotId</w:t>
            </w:r>
          </w:p>
        </w:tc>
        <w:tc>
          <w:tcPr>
            <w:tcW w:type="dxa" w:w="72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ev-001 / snap-demo-001；不可跨快照拼链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kind / producer</w:t>
            </w:r>
          </w:p>
        </w:tc>
        <w:tc>
          <w:tcPr>
            <w:tcW w:type="dxa" w:w="72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SQL_REFERENCE / mybatis-analyzer@规则版本</w:t>
            </w:r>
          </w:p>
        </w:tc>
      </w:tr>
      <w:tr>
        <w:trPr>
          <w:cantSplit/>
        </w:trPr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sourceUri / sourceHash</w:t>
            </w:r>
          </w:p>
        </w:tc>
        <w:tc>
          <w:tcPr>
            <w:tcW w:type="dxa" w:w="72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repo-relative Mapper.xml / SHA256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72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起止行列、字节偏移、statement id</w:t>
            </w:r>
          </w:p>
        </w:tc>
      </w:tr>
      <w:tr>
        <w:trPr>
          <w:cantSplit/>
        </w:trPr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snippet / redaction</w:t>
            </w:r>
          </w:p>
        </w:tc>
        <w:tc>
          <w:tcPr>
            <w:tcW w:type="dxa" w:w="72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WHERE event_id = #{eventId}；脱敏状态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certainty / condition</w:t>
            </w:r>
          </w:p>
        </w:tc>
        <w:tc>
          <w:tcPr>
            <w:tcW w:type="dxa" w:w="72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CONFIRMED、INFERRED、UNKNOWN；if 条件</w:t>
            </w:r>
          </w:p>
        </w:tc>
      </w:tr>
      <w:tr>
        <w:trPr>
          <w:cantSplit/>
        </w:trPr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validation / derivedFrom</w:t>
            </w:r>
          </w:p>
        </w:tc>
        <w:tc>
          <w:tcPr>
            <w:tcW w:type="dxa" w:w="72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VALID、STALE、REJECTED；派生证据来源</w:t>
            </w:r>
          </w:p>
        </w:tc>
      </w:tr>
    </w:tbl>
    <w:p>
      <w:pPr>
        <w:keepNext w:val="0"/>
      </w:pP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DeviceDetail.vue --CALLS [ev01]--&gt; getDevice()</w:t>
        <w:br/>
        <w:t xml:space="preserve">  --CONSUMES [ev02]--&gt; GET /api/devices/{id}</w:t>
        <w:br/>
        <w:t xml:space="preserve">  --HANDLED_BY [ev03]--&gt; DeviceController.get(String)</w:t>
        <w:br/>
        <w:t xml:space="preserve">  --CALLS [ev04]--&gt; DeviceService.find(String)</w:t>
        <w:br/>
        <w:t xml:space="preserve">  --CALLS [ev05]--&gt; DeviceMapper.find(String)</w:t>
        <w:br/>
        <w:t xml:space="preserve">  --READS [ev06]--&gt; public.device.event_id</w:t>
      </w:r>
    </w:p>
    <w:p>
      <w:pPr>
        <w:pStyle w:val="Heading2"/>
        <w:keepNext/>
      </w:pPr>
      <w:r>
        <w:t>验证与展示</w:t>
      </w:r>
    </w:p>
    <w:p>
      <w:pPr>
        <w:keepNext w:val="0"/>
      </w:pPr>
      <w:r>
        <w:t>读证据时检查项目权限、snapshotId、文件哈希、行列范围和内容摘要；原分支最新文件只作为比较入口，默认显示固定快照内容。模型引用不存在的 evidenceId、不同项目证据或与结论不相符的片段，Reviewer 必须拒绝该结论进入正式报告。</w:t>
      </w:r>
    </w:p>
    <w:p>
      <w:pPr>
        <w:keepNext w:val="0"/>
      </w:pPr>
      <w:r>
        <w:t>CONFIRMED 表示解析规则下关系已绑定，不表示生产环境必然执行。INFERRED 表示候选匹配；UNKNOWN 表示不足以确认。置信度值用于规则校准和排序，不宣称为统计概率。人工否定或补充关系存为带操作者和理由的 overlay，不覆盖原始解析事实。</w:t>
      </w:r>
    </w:p>
    <w:p>
      <w:pPr>
        <w:keepNext w:val="0"/>
      </w:pPr>
      <w:r>
        <w:t>保存源码全文不是必要前提：MVP 可保存固定快照的最小片段及哈希，并将完整源码放在隔离扫描卷。片段失效或被合规删除后标记 unavailable，保留删除审计；报告不得继续显示“可复查”。</w:t>
      </w:r>
    </w:p>
    <w:p>
      <w:pPr>
        <w:pStyle w:val="Heading1"/>
        <w:keepNext/>
        <w:pageBreakBefore w:val="0"/>
      </w:pPr>
      <w:r>
        <w:t>9  Blast Radius 算法与评分</w:t>
      </w:r>
    </w:p>
    <w:p>
      <w:pPr>
        <w:keepNext w:val="0"/>
      </w:pPr>
      <w:r>
        <w:t>先将 ChangeSpec 归一化为目标、操作、前后契约、兼容策略及生效阶段。支持 COLUMN_RENAME、COLUMN_DROP、COLUMN_TYPE_CHANGE、API_CONTRACT_CHANGE、METHOD_SIGNATURE_CHANGE。传播计算回答“哪些对象应评估”；是否实际修改由兼容证据和变更语义决定。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240"/>
        <w:gridCol w:w="1224"/>
        <w:gridCol w:w="5760"/>
      </w:tblGrid>
      <w:tr>
        <w:trPr>
          <w:cantSplit/>
          <w:tblHeader/>
        </w:trPr>
        <w:tc>
          <w:tcPr>
            <w:tcW w:type="dxa" w:w="324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传播规则</w:t>
            </w:r>
          </w:p>
        </w:tc>
        <w:tc>
          <w:tcPr>
            <w:tcW w:type="dxa" w:w="122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权重 w</w:t>
            </w:r>
          </w:p>
        </w:tc>
        <w:tc>
          <w:tcPr>
            <w:tcW w:type="dxa" w:w="576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条件与停止边界</w:t>
            </w:r>
          </w:p>
        </w:tc>
      </w:tr>
      <w:tr>
        <w:trPr>
          <w:cantSplit/>
        </w:trPr>
        <w:tc>
          <w:tcPr>
            <w:tcW w:type="dxa" w:w="324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READS / WRITES / MAPS_TO</w:t>
            </w:r>
          </w:p>
        </w:tc>
        <w:tc>
          <w:tcPr>
            <w:tcW w:type="dxa" w:w="12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57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列变更反向；显式兼容映射可停止修改传播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CALLS / HANDLED_BY</w:t>
            </w:r>
          </w:p>
        </w:tc>
        <w:tc>
          <w:tcPr>
            <w:tcW w:type="dxa" w:w="12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7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签名或契约相关传播；调用存在不等于值必经</w:t>
            </w:r>
          </w:p>
        </w:tc>
      </w:tr>
      <w:tr>
        <w:trPr>
          <w:cantSplit/>
        </w:trPr>
        <w:tc>
          <w:tcPr>
            <w:tcW w:type="dxa" w:w="324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CONSUMES</w:t>
            </w:r>
          </w:p>
        </w:tc>
        <w:tc>
          <w:tcPr>
            <w:tcW w:type="dxa" w:w="12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7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API契约变化；保持响应契约则保留依赖并标兼容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FK_TO</w:t>
            </w:r>
          </w:p>
        </w:tc>
        <w:tc>
          <w:tcPr>
            <w:tcW w:type="dxa" w:w="12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57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目标列类型、唯一性或删除相关</w:t>
            </w:r>
          </w:p>
        </w:tc>
      </w:tr>
      <w:tr>
        <w:trPr>
          <w:cantSplit/>
        </w:trPr>
        <w:tc>
          <w:tcPr>
            <w:tcW w:type="dxa" w:w="324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CONTAINS</w:t>
            </w:r>
          </w:p>
        </w:tc>
        <w:tc>
          <w:tcPr>
            <w:tcW w:type="dxa" w:w="12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不参与</w:t>
            </w:r>
          </w:p>
        </w:tc>
        <w:tc>
          <w:tcPr>
            <w:tcW w:type="dxa" w:w="57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只作归属聚合，避免扩散到整库整仓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影响强度与可信度分开计算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I(path) = 100 * product(w(edge)) * 0.85^(hops - 1)</w:t>
        <w:br/>
        <w:t>I(node) = max(I(path) for supported paths to node)</w:t>
        <w:br/>
        <w:t>C(path) = min(confidence(edge) for edge in path)</w:t>
        <w:br/>
        <w:t>R(node) = round(100 * (0.40*B + 0.35*K + 0.25*D))</w:t>
      </w:r>
    </w:p>
    <w:p>
      <w:pPr>
        <w:keepNext w:val="0"/>
      </w:pPr>
      <w:r>
        <w:t>I 是调查传播强度，不是故障概率；采用最大路径避免循环、多路径重复计分。C 是证据质量标记，不乘入 R，避免未知依赖被错误降为低风险。B 为破坏程度，K 为业务关键性，D 为数据与恢复代价，均取0至1。业务关键性未知时给风险区间和待确认项，不默认低风险。</w:t>
      </w:r>
    </w:p>
    <w:p>
      <w:pPr>
        <w:keepNext w:val="0"/>
      </w:pPr>
      <w:r>
        <w:t>建议分级：R≥80 为 CRITICAL，60≤R&lt;80 为 HIGH，35≤R&lt;60 为 MEDIUM，其余 LOW。规则命中“删除关键唯一标识且缺少映射与恢复方案”时最低 HIGH，并记录覆盖原因。参数为首版启发式，需以人工标注校准；Case 固定 ruleVersion。</w:t>
      </w:r>
    </w:p>
    <w:p>
      <w:pPr>
        <w:keepNext w:val="0"/>
      </w:pPr>
      <w:r>
        <w:t>复算示例：列到 Mapper 一跳 I=100；列到页面六跳且后五条 w=0.9，I=100×0.9⁵×0.85⁵≈26.20。若 B=1、K=0.8、D=0.9，则 R=91，为 CRITICAL；链中 C=0.6 时仍显示该风险，并提高人工核查优先级，不能变为低风险。</w:t>
      </w:r>
    </w:p>
    <w:p>
      <w:pPr>
        <w:pStyle w:val="Heading2"/>
        <w:keepNext/>
      </w:pPr>
      <w:r>
        <w:t>有界遍历伪代码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frontier = [(target, depth=0, strength=100, path=[])]</w:t>
        <w:br/>
        <w:t>while frontier and withinBudget():</w:t>
        <w:br/>
        <w:t xml:space="preserve">    state = popHighestStrength(frontier)</w:t>
        <w:br/>
        <w:t xml:space="preserve">    for edge in allowedIncoming(state.node, changeType):</w:t>
        <w:br/>
        <w:t xml:space="preserve">        if edge.snapshot != snapshot: reject(edge)</w:t>
        <w:br/>
        <w:t xml:space="preserve">        if edge.node in state.path: continue</w:t>
        <w:br/>
        <w:t xml:space="preserve">        result = propagate(state, edge, compatibilityEvidence)</w:t>
        <w:br/>
        <w:t xml:space="preserve">        saveImpactAndPath(result)</w:t>
        <w:br/>
        <w:t xml:space="preserve">        if result.depth &lt; maxDepth and not result.provenBoundary:</w:t>
        <w:br/>
        <w:t xml:space="preserve">            pushIfNonDominated(result, key=(node,depth,semantics))</w:t>
        <w:br/>
        <w:t>return impacts, unknowns, truncated, frontierSummary</w:t>
      </w:r>
    </w:p>
    <w:p>
      <w:pPr>
        <w:keepNext w:val="0"/>
      </w:pPr>
      <w:r>
        <w:t>默认 maxDepth=8、maxNodes=5000、每节点保留3条解释路径、计算预算5秒。深度达到上限、节点上限或时间耗尽都返回 truncated=true 和未展开边界。低置信度边不静默丢弃，放入候选传播队列。算法保留深度与语义状态，避免仅按节点 visited 导致短路径或不同传播状态被误剪枝。</w:t>
      </w:r>
    </w:p>
    <w:p>
      <w:pPr>
        <w:keepNext w:val="0"/>
      </w:pPr>
      <w:r>
        <w:t>普通邻接遍历为 O(Vr+Er)；路径保留和语义状态会增加开销，因此不承诺全路径枚举复杂度。Neo4j 使用受限、参数化邻接查询。[R8] 不把无上限变长 MATCH 当在线算法；排序采用 strength、logicalKey、relationId 固定次序。</w:t>
      </w:r>
    </w:p>
    <w:p>
      <w:pPr>
        <w:pStyle w:val="Heading1"/>
        <w:keepNext/>
        <w:pageBreakBefore w:val="0"/>
      </w:pPr>
      <w:r>
        <w:t>10  Agent 编排及工具定义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INTAKE -&gt; RESOLVE_TARGET -&gt; INVESTIGATE -&gt; VERIFY</w:t>
        <w:br/>
        <w:t xml:space="preserve">             |                               |</w:t>
        <w:br/>
        <w:t xml:space="preserve">       NEEDS_CLARIFICATION              RISK / TEST PLAN</w:t>
        <w:br/>
        <w:t xml:space="preserve">                                             |</w:t>
        <w:br/>
        <w:t xml:space="preserve">                                          REVIEW</w:t>
        <w:br/>
        <w:t xml:space="preserve">                                   +---------+---------+</w:t>
        <w:br/>
        <w:t xml:space="preserve">                              NEEDS_EVIDENCE         COMPLETE</w:t>
        <w:br/>
        <w:t xml:space="preserve">                                   |</w:t>
        <w:br/>
        <w:t xml:space="preserve">                              bounded retry</w:t>
      </w:r>
    </w:p>
    <w:p>
      <w:pPr>
        <w:keepNext w:val="0"/>
      </w:pPr>
      <w:r>
        <w:t>Investigator 管理状态和预算。Dependency 角色调用图与证据工具；Risk 角色应用风险规则并解释；Test 角色生成测试范围；Reviewer 检查反例、缺失与引用。角色共享结构化调查结果，不通过长对话传递全部源码，也不需要在 MVP 中部署多个自治 Agent。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880"/>
        <w:gridCol w:w="3384"/>
        <w:gridCol w:w="3960"/>
      </w:tblGrid>
      <w:tr>
        <w:trPr>
          <w:cantSplit/>
          <w:tblHeader/>
        </w:trPr>
        <w:tc>
          <w:tcPr>
            <w:tcW w:type="dxa" w:w="288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38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关键输入</w:t>
            </w:r>
          </w:p>
        </w:tc>
        <w:tc>
          <w:tcPr>
            <w:tcW w:type="dxa" w:w="396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返回内容</w:t>
            </w:r>
          </w:p>
        </w:tc>
      </w:tr>
      <w:tr>
        <w:trPr>
          <w:cantSplit/>
        </w:trPr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search_architecture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query, types, limit</w:t>
            </w:r>
          </w:p>
        </w:tc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候选 nodeId、匹配原因、歧义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get_neighbors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nodeId, direction, kinds, cursor</w:t>
            </w:r>
          </w:p>
        </w:tc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同快照边、nextCursor、截断</w:t>
            </w:r>
          </w:p>
        </w:tc>
      </w:tr>
      <w:tr>
        <w:trPr>
          <w:cantSplit/>
        </w:trPr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find_dependency_path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fromId, toId, maxDepth</w:t>
            </w:r>
          </w:p>
        </w:tc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有界 paths、evidenceIds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get_source_evidence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evidenceIds, maxChars</w:t>
            </w:r>
          </w:p>
        </w:tc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已授权片段、校验状态</w:t>
            </w:r>
          </w:p>
        </w:tc>
      </w:tr>
      <w:tr>
        <w:trPr>
          <w:cantSplit/>
        </w:trPr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query_database_schema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objectIds</w:t>
            </w:r>
          </w:p>
        </w:tc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已采集元数据；非任意 SQL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calculate_blast_radius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ChangeSpec, policyVersion</w:t>
            </w:r>
          </w:p>
        </w:tc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impacts、scores、unknowns</w:t>
            </w:r>
          </w:p>
        </w:tc>
      </w:tr>
      <w:tr>
        <w:trPr>
          <w:cantSplit/>
        </w:trPr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search_code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literal, allowedPaths, limit</w:t>
            </w:r>
          </w:p>
        </w:tc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匹配位置；仅候选证据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save_case_draft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revision, findings, plans</w:t>
            </w:r>
          </w:p>
        </w:tc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新修订号；模式校验错误</w:t>
            </w:r>
          </w:p>
        </w:tc>
      </w:tr>
    </w:tbl>
    <w:p>
      <w:pPr>
        <w:keepNext w:val="0"/>
      </w:pPr>
    </w:p>
    <w:p>
      <w:pPr>
        <w:keepNext w:val="0"/>
      </w:pPr>
      <w:r>
        <w:t>所有工具由服务器注入 projectId、snapshotId、actorId、traceId，模型不能自选租户。参数以 JSON Schema 校验；工具错误统一为 code、retryable、details。禁止任意 Shell、任意 SQL/Cypher、任意 URL 抓取及源系统写操作。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{"tool":"calculate_blast_radius",</w:t>
        <w:br/>
        <w:t xml:space="preserve"> "arguments":{"targetId":"node-demo-column",</w:t>
        <w:br/>
        <w:t xml:space="preserve">  "change":{"kind":"COLUMN_RENAME",</w:t>
        <w:br/>
        <w:t xml:space="preserve">   "before":{"name":"event_id"},</w:t>
        <w:br/>
        <w:t xml:space="preserve">   "after":{"name":"global_id"},</w:t>
        <w:br/>
        <w:t xml:space="preserve">   "preserveApiContract":true},"policyVersion":"br-v1"}}</w:t>
      </w:r>
    </w:p>
    <w:p>
      <w:pPr>
        <w:keepNext w:val="0"/>
      </w:pPr>
      <w:r>
        <w:t>建议单 Case 最多30次工具调用、2轮补证、总耗时120秒，模型 token 与费用预算由管理员配置。超额返回 PARTIAL 并保留已验证结果。网络调用可重试一次；鉴权失败与参数错误不盲目重试。模型超时可降级为纯图谱报告。摘要必须保留证据引用，模型不能凭记忆补齐丢失边。</w:t>
      </w:r>
    </w:p>
    <w:p>
      <w:pPr>
        <w:pStyle w:val="Heading1"/>
        <w:keepNext/>
        <w:pageBreakBefore w:val="0"/>
      </w:pPr>
      <w:r>
        <w:t>11  Investigation Case 调查案例模型</w:t>
      </w:r>
    </w:p>
    <w:p>
      <w:pPr>
        <w:keepNext w:val="0"/>
      </w:pPr>
      <w:r>
        <w:t>Investigation Case 是一次架构取证与变更调查的业务聚合，保存调查目标、固定快照、证据链、影响范围、风险、变更计划、回归范围及评审记录。它使调查结论可以复查、修订和复用，是 ArchLens 的核心业务对象。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728"/>
        <w:gridCol w:w="3888"/>
        <w:gridCol w:w="4608"/>
      </w:tblGrid>
      <w:tr>
        <w:trPr>
          <w:cantSplit/>
          <w:tblHeader/>
        </w:trPr>
        <w:tc>
          <w:tcPr>
            <w:tcW w:type="dxa" w:w="172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调查阶段</w:t>
            </w:r>
          </w:p>
        </w:tc>
        <w:tc>
          <w:tcPr>
            <w:tcW w:type="dxa" w:w="388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业务操作</w:t>
            </w:r>
          </w:p>
        </w:tc>
        <w:tc>
          <w:tcPr>
            <w:tcW w:type="dxa" w:w="460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结果与约束</w:t>
            </w:r>
          </w:p>
        </w:tc>
      </w:tr>
      <w:tr>
        <w:trPr>
          <w:cantSplit/>
        </w:trPr>
        <w:tc>
          <w:tcPr>
            <w:tcW w:type="dxa" w:w="17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创建调查</w:t>
            </w:r>
          </w:p>
        </w:tc>
        <w:tc>
          <w:tcPr>
            <w:tcW w:type="dxa" w:w="388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选择项目和快照，输入字段变更</w:t>
            </w:r>
          </w:p>
        </w:tc>
        <w:tc>
          <w:tcPr>
            <w:tcW w:type="dxa" w:w="46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目标消歧；固定元数据版本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发现依赖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计算跨层路径与影响集合</w:t>
            </w:r>
          </w:p>
        </w:tc>
        <w:tc>
          <w:tcPr>
            <w:tcW w:type="dxa" w:w="460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保存确定关系、候选关系与未知项</w:t>
            </w:r>
          </w:p>
        </w:tc>
      </w:tr>
      <w:tr>
        <w:trPr>
          <w:cantSplit/>
        </w:trPr>
        <w:tc>
          <w:tcPr>
            <w:tcW w:type="dxa" w:w="17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核验证据</w:t>
            </w:r>
          </w:p>
        </w:tc>
        <w:tc>
          <w:tcPr>
            <w:tcW w:type="dxa" w:w="388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验证引用并质疑影响结论</w:t>
            </w:r>
          </w:p>
        </w:tc>
        <w:tc>
          <w:tcPr>
            <w:tcW w:type="dxa" w:w="46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逐边定位；失效证据不得支撑确定结论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形成计划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确认兼容策略，生成任务和测试</w:t>
            </w:r>
          </w:p>
        </w:tc>
        <w:tc>
          <w:tcPr>
            <w:tcW w:type="dxa" w:w="460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修改项与仅回归项分开</w:t>
            </w:r>
          </w:p>
        </w:tc>
      </w:tr>
      <w:tr>
        <w:trPr>
          <w:cantSplit/>
        </w:trPr>
        <w:tc>
          <w:tcPr>
            <w:tcW w:type="dxa" w:w="17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评审归档</w:t>
            </w:r>
          </w:p>
        </w:tc>
        <w:tc>
          <w:tcPr>
            <w:tcW w:type="dxa" w:w="388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记录复核意见并导出报告</w:t>
            </w:r>
          </w:p>
        </w:tc>
        <w:tc>
          <w:tcPr>
            <w:tcW w:type="dxa" w:w="46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修订保留历史；审批不表示已上线</w:t>
            </w:r>
          </w:p>
        </w:tc>
      </w:tr>
    </w:tbl>
    <w:p>
      <w:pPr>
        <w:keepNext w:val="0"/>
      </w:pP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Case 数据组</w:t>
            </w:r>
          </w:p>
        </w:tc>
        <w:tc>
          <w:tcPr>
            <w:tcW w:type="dxa" w:w="734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必要字段</w:t>
            </w:r>
          </w:p>
        </w:tc>
      </w:tr>
      <w:tr>
        <w:trPr>
          <w:cantSplit/>
        </w:trPr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身份与范围</w:t>
            </w:r>
          </w:p>
        </w:tc>
        <w:tc>
          <w:tcPr>
            <w:tcW w:type="dxa" w:w="73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caseId, projectId, snapshotId, title, ownerId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变更语义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changeSpec, assumptions, compatibilityStrategy</w:t>
            </w:r>
          </w:p>
        </w:tc>
      </w:tr>
      <w:tr>
        <w:trPr>
          <w:cantSplit/>
        </w:trPr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过程与状态</w:t>
            </w:r>
          </w:p>
        </w:tc>
        <w:tc>
          <w:tcPr>
            <w:tcW w:type="dxa" w:w="73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status, steps, toolCalls, budgets, traceId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调查结果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impacts, paths, evidenceRefs, unknowns, coverage</w:t>
            </w:r>
          </w:p>
        </w:tc>
      </w:tr>
      <w:tr>
        <w:trPr>
          <w:cantSplit/>
        </w:trPr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决策与执行建议</w:t>
            </w:r>
          </w:p>
        </w:tc>
        <w:tc>
          <w:tcPr>
            <w:tcW w:type="dxa" w:w="73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risks, planTasks, testScopes, reviewDecisions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版本与审计</w:t>
            </w:r>
          </w:p>
        </w:tc>
        <w:tc>
          <w:tcPr>
            <w:tcW w:type="dxa" w:w="73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revision, ruleVersion, promptVersion, modelVersion, timestamps</w:t>
            </w:r>
          </w:p>
        </w:tc>
      </w:tr>
    </w:tbl>
    <w:p>
      <w:pPr>
        <w:keepNext w:val="0"/>
      </w:pPr>
    </w:p>
    <w:p>
      <w:pPr>
        <w:keepNext w:val="0"/>
      </w:pPr>
      <w:r>
        <w:t>状态区分 DRAFT、RUNNING、NEEDS_CLARIFICATION、PARTIAL、READY_FOR_REVIEW、APPROVED、REJECTED、ARCHIVED。APPROVED 只说明报告通过评审，不说明代码变更或迁移已经执行。重新调查创建新修订；审批绑定该修订及快照。</w:t>
      </w:r>
    </w:p>
    <w:p>
      <w:pPr>
        <w:keepNext w:val="0"/>
      </w:pPr>
      <w:r>
        <w:t>界面采用三处工作区：Architecture Graph 用于探索；Blast Radius 展示影响列表、风险和未知边界；Investigation Case 汇总 Evidence、Risks、Plan、Tests、Activity。不得仅靠颜色表达状态，提供文字和列表视图；大图默认分层聚合并渐进展开。</w:t>
      </w:r>
    </w:p>
    <w:p>
      <w:pPr>
        <w:keepNext w:val="0"/>
      </w:pPr>
      <w:r>
        <w:t>PlanTask 含 id、title、reasonRefs、dependsOn、ownerRole、preconditions、deliverable、validation、rollback、status。TestScope 含 impactedNodeIds、riskIds、testLevel、scenario、expectedResult、existingTestRefs 与 NEW_TEST_REQUIRED 标记。没有测试索引时不虚构现有测试文件名。</w:t>
      </w:r>
    </w:p>
    <w:p>
      <w:pPr>
        <w:pStyle w:val="Heading1"/>
        <w:keepNext/>
        <w:pageBreakBefore w:val="0"/>
      </w:pPr>
      <w:r>
        <w:t>12  API 设计建议</w:t>
      </w:r>
    </w:p>
    <w:p>
      <w:pPr>
        <w:keepNext w:val="0"/>
      </w:pPr>
      <w:r>
        <w:t>建议统一前缀 /api/v1，身份认证与项目授权在服务端完成。长任务返回202及资源地址；查询使用游标分页。写操作接受 Idempotency-Key，同键不同请求体返回409；Case 更新使用 If-Match 修订号防止覆盖。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960"/>
        <w:gridCol w:w="3384"/>
        <w:gridCol w:w="2880"/>
      </w:tblGrid>
      <w:tr>
        <w:trPr>
          <w:cantSplit/>
          <w:tblHeader/>
        </w:trPr>
        <w:tc>
          <w:tcPr>
            <w:tcW w:type="dxa" w:w="396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338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请求要点</w:t>
            </w:r>
          </w:p>
        </w:tc>
        <w:tc>
          <w:tcPr>
            <w:tcW w:type="dxa" w:w="288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响应</w:t>
            </w:r>
          </w:p>
        </w:tc>
      </w:tr>
      <w:tr>
        <w:trPr>
          <w:cantSplit/>
        </w:trPr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POST /projects/{id}/scans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sourceRefs, analyzerProfile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202 scanId, statusUrl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GET /scans/{id}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项目权限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阶段、进度、diagnostics</w:t>
            </w:r>
          </w:p>
        </w:tc>
      </w:tr>
      <w:tr>
        <w:trPr>
          <w:cantSplit/>
        </w:trPr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GET /snapshots/{id}/nodes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query, type, cursor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节点候选与分页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GET /nodes/{id}/neighbors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snapshotId, direction, kinds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授权后的边与节点</w:t>
            </w:r>
          </w:p>
        </w:tc>
      </w:tr>
      <w:tr>
        <w:trPr>
          <w:cantSplit/>
        </w:trPr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POST /cases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projectId, snapshotId, changeSpec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201 caseId, revision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POST /cases/{id}/investigations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expectedRevision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202 runId</w:t>
            </w:r>
          </w:p>
        </w:tc>
      </w:tr>
      <w:tr>
        <w:trPr>
          <w:cantSplit/>
        </w:trPr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GET /cases/{id}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revision 可选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完整结构化报告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GET /evidence/{id}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证据级授权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片段、来源、有效性</w:t>
            </w:r>
          </w:p>
        </w:tc>
      </w:tr>
      <w:tr>
        <w:trPr>
          <w:cantSplit/>
        </w:trPr>
        <w:tc>
          <w:tcPr>
            <w:tcW w:type="dxa" w:w="39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POST /cases/{id}/reviews</w:t>
            </w:r>
          </w:p>
        </w:tc>
        <w:tc>
          <w:tcPr>
            <w:tcW w:type="dxa" w:w="33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decision, reason, revision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新审计事件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POST /cases/{id}/exports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format, revision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202 exportId，短期下载入口</w:t>
            </w:r>
          </w:p>
        </w:tc>
      </w:tr>
    </w:tbl>
    <w:p>
      <w:pPr>
        <w:keepNext w:val="0"/>
      </w:pP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{"caseId":"case-demo-001","revision":1,</w:t>
        <w:br/>
        <w:t xml:space="preserve"> "snapshotId":"snap-demo-001","status":"PARTIAL",</w:t>
        <w:br/>
        <w:t xml:space="preserve"> "coverage":{"parsedFiles":120,"failedFiles":2},</w:t>
        <w:br/>
        <w:t xml:space="preserve"> "blast":{"truncated":false,"policyVersion":"br-v1"},</w:t>
        <w:br/>
        <w:t xml:space="preserve"> "impacts":[{"nodeId":"page-demo","certainty":"INFERRED",</w:t>
        <w:br/>
        <w:t xml:space="preserve">  "changeRequired":"UNKNOWN","impactScore":26.20,</w:t>
        <w:br/>
        <w:t xml:space="preserve">  "riskScore":91,"evidenceIds":["ev01","ev02"]}],</w:t>
        <w:br/>
        <w:t xml:space="preserve"> "unknowns":[{"code":"DYNAMIC_URL",</w:t>
        <w:br/>
        <w:t xml:space="preserve">  "action":"Confirm deployment route mapping"}]}</w:t>
      </w:r>
    </w:p>
    <w:p>
      <w:pPr>
        <w:keepNext w:val="0"/>
      </w:pPr>
      <w:r>
        <w:t>上例仅示意契约，不代表实测数量。错误使用400参数不合法、403无权限、404不存在或不可见、409版本冲突、422快照未就绪、429预算受限、503依赖不可用，并附 traceId 与 retryable。SSE 可推送步骤事件；断线后按 eventId 恢复，最终状态仍以持久化资源为准。</w:t>
      </w:r>
    </w:p>
    <w:p>
      <w:pPr>
        <w:pStyle w:val="Heading1"/>
        <w:keepNext/>
        <w:pageBreakBefore w:val="0"/>
      </w:pPr>
      <w:r>
        <w:t>13  存储方案</w:t>
      </w:r>
    </w:p>
    <w:p>
      <w:pPr>
        <w:keepNext w:val="0"/>
      </w:pPr>
      <w:r>
        <w:t>采用 PostgreSQL + Neo4j。PostgreSQL 维护业务事务、标准图记录、证据与发布状态；Neo4j 提供多跳图查询。明确单一权威来源可避免双库各自“正确”但报告无法重建的问题，代价是重复存储和投影管理。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168"/>
        <w:gridCol w:w="3456"/>
        <w:gridCol w:w="3600"/>
      </w:tblGrid>
      <w:tr>
        <w:trPr>
          <w:cantSplit/>
          <w:tblHeader/>
        </w:trPr>
        <w:tc>
          <w:tcPr>
            <w:tcW w:type="dxa" w:w="316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PostgreSQL 表</w:t>
            </w:r>
          </w:p>
        </w:tc>
        <w:tc>
          <w:tcPr>
            <w:tcW w:type="dxa" w:w="345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主键或唯一约束</w:t>
            </w:r>
          </w:p>
        </w:tc>
        <w:tc>
          <w:tcPr>
            <w:tcW w:type="dxa" w:w="360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关键用途</w:t>
            </w:r>
          </w:p>
        </w:tc>
      </w:tr>
      <w:tr>
        <w:trPr>
          <w:cantSplit/>
        </w:trPr>
        <w:tc>
          <w:tcPr>
            <w:tcW w:type="dxa" w:w="316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project / source</w:t>
            </w:r>
          </w:p>
        </w:tc>
        <w:tc>
          <w:tcPr>
            <w:tcW w:type="dxa" w:w="34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id；source 属于 project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授权边界与连接引用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scan / snapshot</w:t>
            </w:r>
          </w:p>
        </w:tc>
        <w:tc>
          <w:tcPr>
            <w:tcW w:type="dxa" w:w="34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id；manifestHash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扫描任务和不可变版本</w:t>
            </w:r>
          </w:p>
        </w:tc>
      </w:tr>
      <w:tr>
        <w:trPr>
          <w:cantSplit/>
        </w:trPr>
        <w:tc>
          <w:tcPr>
            <w:tcW w:type="dxa" w:w="316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arch_node</w:t>
            </w:r>
          </w:p>
        </w:tc>
        <w:tc>
          <w:tcPr>
            <w:tcW w:type="dxa" w:w="34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projectId,snapshotId,nodeId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节点属性与逻辑键索引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arch_edge</w:t>
            </w:r>
          </w:p>
        </w:tc>
        <w:tc>
          <w:tcPr>
            <w:tcW w:type="dxa" w:w="34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projectId,snapshotId,relationId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起终点、语义、条件</w:t>
            </w:r>
          </w:p>
        </w:tc>
      </w:tr>
      <w:tr>
        <w:trPr>
          <w:cantSplit/>
        </w:trPr>
        <w:tc>
          <w:tcPr>
            <w:tcW w:type="dxa" w:w="316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evidence / edge_evidence</w:t>
            </w:r>
          </w:p>
        </w:tc>
        <w:tc>
          <w:tcPr>
            <w:tcW w:type="dxa" w:w="34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evidenceId；关系联合键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证据正文与多对多关联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case_record / case_revision</w:t>
            </w:r>
          </w:p>
        </w:tc>
        <w:tc>
          <w:tcPr>
            <w:tcW w:type="dxa" w:w="34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caseId,revision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修订、结果与审批状态</w:t>
            </w:r>
          </w:p>
        </w:tc>
      </w:tr>
      <w:tr>
        <w:trPr>
          <w:cantSplit/>
        </w:trPr>
        <w:tc>
          <w:tcPr>
            <w:tcW w:type="dxa" w:w="316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tool_call / audit_event</w:t>
            </w:r>
          </w:p>
        </w:tc>
        <w:tc>
          <w:tcPr>
            <w:tcW w:type="dxa" w:w="34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id；traceId 索引</w:t>
            </w:r>
          </w:p>
        </w:tc>
        <w:tc>
          <w:tcPr>
            <w:tcW w:type="dxa" w:w="360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过程审计和模型成本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outbox / projection_state</w:t>
            </w:r>
          </w:p>
        </w:tc>
        <w:tc>
          <w:tcPr>
            <w:tcW w:type="dxa" w:w="34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eventId；snapshotId</w:t>
            </w:r>
          </w:p>
        </w:tc>
        <w:tc>
          <w:tcPr>
            <w:tcW w:type="dxa" w:w="36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图投影重试和发布水位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一致性与恢复协议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1  PG transaction: facts + evidence + manifest + outbox</w:t>
        <w:br/>
        <w:t>2  Projector: MERGE Neo4j nodes/edges by scoped IDs</w:t>
        <w:br/>
        <w:t>3  Verify: counts + sorted ID/content digest</w:t>
        <w:br/>
        <w:t>4  PG transaction: projection READY + snapshot publish</w:t>
        <w:br/>
        <w:t>5  Case reads one published snapshot; no latest fallback</w:t>
      </w:r>
    </w:p>
    <w:p>
      <w:pPr>
        <w:keepNext w:val="0"/>
      </w:pPr>
      <w:r>
        <w:t>Projector 至少一次消费，通过复合键幂等；边在端点完成后写入。摘要校验不是只比较节点数，还比较排序后的节点、边及关键属性哈希。发布失败保留未发布投影并重试，禁止提前切换 activeSnapshotId。图库不可用时返回503或读取已缓存报告，不让模型补图。</w:t>
      </w:r>
    </w:p>
    <w:p>
      <w:pPr>
        <w:keepNext w:val="0"/>
      </w:pPr>
      <w:r>
        <w:t>Neo4j 所有节点与边携带 projectId、snapshotId；关系端点校验在入库前完成，查询始终带范围过滤。图可从 PostgreSQL 标准记录重建。按项目、快照查询的唯一约束和索引在部署时预建，Cypher 模板随版本测试。</w:t>
      </w:r>
    </w:p>
    <w:p>
      <w:pPr>
        <w:keepNext w:val="0"/>
      </w:pPr>
      <w:r>
        <w:t>MVP 使用本地持久卷保存扫描源码，元数据和证据进入 PostgreSQL；未来大文件移至对象存储。按快照保留策略清理，仍被 Case 引用的快照默认保留，敏感数据删除请求优先执行并标记报告证据不可用。建议每日备份并演练恢复；RPO 24小时、RTO 4小时作为试点目标，不是现状保证。</w:t>
      </w:r>
    </w:p>
    <w:p>
      <w:pPr>
        <w:pStyle w:val="Heading1"/>
        <w:keepNext/>
        <w:pageBreakBefore w:val="0"/>
      </w:pPr>
      <w:r>
        <w:t>14  安全与权限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5112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345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仓库接入</w:t>
            </w:r>
          </w:p>
        </w:tc>
        <w:tc>
          <w:tcPr>
            <w:tcW w:type="dxa" w:w="51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固定仓库白名单与提交；隔离扫描目录</w:t>
            </w:r>
          </w:p>
        </w:tc>
        <w:tc>
          <w:tcPr>
            <w:tcW w:type="dxa" w:w="34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拒绝路径穿越、符号链接越界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执行环境</w:t>
            </w:r>
          </w:p>
        </w:tc>
        <w:tc>
          <w:tcPr>
            <w:tcW w:type="dxa" w:w="511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不执行项目构建脚本；限CPU内存与超时</w:t>
            </w:r>
          </w:p>
        </w:tc>
        <w:tc>
          <w:tcPr>
            <w:tcW w:type="dxa" w:w="34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恶意依赖与压缩炸弹样例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51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只读元数据账号、网络白名单、短超时</w:t>
            </w:r>
          </w:p>
        </w:tc>
        <w:tc>
          <w:tcPr>
            <w:tcW w:type="dxa" w:w="34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业务数据查询和写语句被禁止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图与证据</w:t>
            </w:r>
          </w:p>
        </w:tc>
        <w:tc>
          <w:tcPr>
            <w:tcW w:type="dxa" w:w="511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所有工具按项目权限过滤</w:t>
            </w:r>
          </w:p>
        </w:tc>
        <w:tc>
          <w:tcPr>
            <w:tcW w:type="dxa" w:w="34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跨项目同名对象不可检索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模型边界</w:t>
            </w:r>
          </w:p>
        </w:tc>
        <w:tc>
          <w:tcPr>
            <w:tcW w:type="dxa" w:w="51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源码视为不可信数据；仅白名单工具</w:t>
            </w:r>
          </w:p>
        </w:tc>
        <w:tc>
          <w:tcPr>
            <w:tcW w:type="dxa" w:w="34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注释中的伪指令不能触发动作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敏感数据</w:t>
            </w:r>
          </w:p>
        </w:tc>
        <w:tc>
          <w:tcPr>
            <w:tcW w:type="dxa" w:w="511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密钥引用托管、片段脱敏、日志最小化</w:t>
            </w:r>
          </w:p>
        </w:tc>
        <w:tc>
          <w:tcPr>
            <w:tcW w:type="dxa" w:w="34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日志与报告不出现凭据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导出与分享</w:t>
            </w:r>
          </w:p>
        </w:tc>
        <w:tc>
          <w:tcPr>
            <w:tcW w:type="dxa" w:w="511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重新鉴权、审计、短期下载地址</w:t>
            </w:r>
          </w:p>
        </w:tc>
        <w:tc>
          <w:tcPr>
            <w:tcW w:type="dxa" w:w="34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撤权后下载不可继续使用</w:t>
            </w:r>
          </w:p>
        </w:tc>
      </w:tr>
    </w:tbl>
    <w:p>
      <w:pPr>
        <w:keepNext w:val="0"/>
      </w:pPr>
    </w:p>
    <w:p>
      <w:pPr>
        <w:keepNext w:val="0"/>
      </w:pPr>
      <w:r>
        <w:t>角色建议为 ProjectAdmin、Analyst、Reviewer、Viewer。Admin 管理来源与成员；Analyst 发起调查；Reviewer 审核指定修订；Viewer 仅看已授权结果。证据查看权可以严于图结构查看权；隐藏源码时仍须说明证据不可见，不能泄露片段。</w:t>
      </w:r>
    </w:p>
    <w:p>
      <w:pPr>
        <w:keepNext w:val="0"/>
      </w:pPr>
      <w:r>
        <w:t>模型部署优先选择企业允许的环境。外部模型仅接收批准的最小证据包；密钥、连接串、业务个人信息和完整仓库默认不外发。模型日志保存策略由企业政策配置，并记录数据出域审批条件；“使用私有模型”本身不替代权限和日志治理。</w:t>
      </w:r>
    </w:p>
    <w:p>
      <w:pPr>
        <w:keepNext w:val="0"/>
      </w:pPr>
      <w:r>
        <w:t>所有写入 Case 的工具都以用户上下文执行并审计；源码中的 README、注释、SQL 字符串和模型输出均不能覆盖服务端策略。工具返回值仍须类型校验、长度限制和转义后展示，防止报告或前端成为注入入口。</w:t>
      </w:r>
    </w:p>
    <w:p>
      <w:pPr>
        <w:keepNext w:val="0"/>
      </w:pPr>
      <w:r>
        <w:t>MVP 不建立自动部署、数据库迁移执行、邮件通知或第三方工单写入通道。未来接入写工具时单独设计审批、幂等和撤销机制；报告审批不能自动转化为生产变更授权。</w:t>
      </w:r>
    </w:p>
    <w:p>
      <w:pPr>
        <w:pStyle w:val="Heading1"/>
        <w:keepNext/>
        <w:pageBreakBefore w:val="0"/>
      </w:pPr>
      <w:r>
        <w:t>15  MVP 范围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656"/>
        <w:gridCol w:w="4680"/>
        <w:gridCol w:w="3888"/>
      </w:tblGrid>
      <w:tr>
        <w:trPr>
          <w:cantSplit/>
          <w:tblHeader/>
        </w:trPr>
        <w:tc>
          <w:tcPr>
            <w:tcW w:type="dxa" w:w="165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68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首版承诺</w:t>
            </w:r>
          </w:p>
        </w:tc>
        <w:tc>
          <w:tcPr>
            <w:tcW w:type="dxa" w:w="388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明确边界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46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一个后端与一个 Vue 仓库、一个PG schema</w:t>
            </w:r>
          </w:p>
        </w:tc>
        <w:tc>
          <w:tcPr>
            <w:tcW w:type="dxa" w:w="388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跨仓部署映射人工配置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Java</w:t>
            </w:r>
          </w:p>
        </w:tc>
        <w:tc>
          <w:tcPr>
            <w:tcW w:type="dxa" w:w="46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类型与直接方法调用、常规Spring注入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反射、复杂代理不保证解析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MyBatis</w:t>
            </w:r>
          </w:p>
        </w:tc>
        <w:tc>
          <w:tcPr>
            <w:tcW w:type="dxa" w:w="46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XML与常规注解SQL、结果映射、动态片段</w:t>
            </w:r>
          </w:p>
        </w:tc>
        <w:tc>
          <w:tcPr>
            <w:tcW w:type="dxa" w:w="388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自定义LanguageDriver列未知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46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表列、约束、索引、视图定义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复杂函数血缘不验收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Vue</w:t>
            </w:r>
          </w:p>
        </w:tc>
        <w:tc>
          <w:tcPr>
            <w:tcW w:type="dxa" w:w="46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SFC、静态请求封装、页面到API</w:t>
            </w:r>
          </w:p>
        </w:tc>
        <w:tc>
          <w:tcPr>
            <w:tcW w:type="dxa" w:w="388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动态URL保留候选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变更</w:t>
            </w:r>
          </w:p>
        </w:tc>
        <w:tc>
          <w:tcPr>
            <w:tcW w:type="dxa" w:w="46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列改名删除类型变更、API与方法契约变更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先完成列改名主链，再补其余规则</w:t>
            </w:r>
          </w:p>
        </w:tc>
      </w:tr>
      <w:tr>
        <w:trPr>
          <w:cantSplit/>
        </w:trPr>
        <w:tc>
          <w:tcPr>
            <w:tcW w:type="dxa" w:w="165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Case</w:t>
            </w:r>
          </w:p>
        </w:tc>
        <w:tc>
          <w:tcPr>
            <w:tcW w:type="dxa" w:w="46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证据、影响、风险、计划、测试、审批</w:t>
            </w:r>
          </w:p>
        </w:tc>
        <w:tc>
          <w:tcPr>
            <w:tcW w:type="dxa" w:w="388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只生成建议，不执行变更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图存储</w:t>
            </w:r>
          </w:p>
        </w:tc>
        <w:tc>
          <w:tcPr>
            <w:tcW w:type="dxa" w:w="46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PostgreSQL事实源与Neo4j投影</w:t>
            </w:r>
          </w:p>
        </w:tc>
        <w:tc>
          <w:tcPr>
            <w:tcW w:type="dxa" w:w="38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不引入分布式图或向量库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首个纵向切片</w:t>
      </w:r>
    </w:p>
    <w:p>
      <w:pPr>
        <w:keepNext w:val="0"/>
      </w:pPr>
      <w:r>
        <w:t>选择 device.event_id，解析 Mapper.find、Service.find、Controller.get、GET /api/devices/{id}、前端 getDevice 与 DeviceDetail.vue。固定样例同时包含两个反例：SQL 别名保持接口不变，以及无法解析的动态表名。首个切片就必须展示未知项，不能等产品化阶段再补。</w:t>
      </w:r>
    </w:p>
    <w:p>
      <w:pPr>
        <w:keepNext w:val="0"/>
      </w:pPr>
      <w:r>
        <w:t>可选能力包括基础 JPA 注解识别、静态权限注解展示和扫描增量缓存，不作为主链成功前置条件。Git History、Temporal Coupling、Kettle、Redis、Nginx、Kafka、GIS 与第三方接口进入后续阶段。</w:t>
      </w:r>
    </w:p>
    <w:p>
      <w:pPr>
        <w:pStyle w:val="Heading2"/>
        <w:keepNext/>
      </w:pPr>
      <w:r>
        <w:t>交付清单</w:t>
      </w:r>
    </w:p>
    <w:p>
      <w:pPr>
        <w:keepNext w:val="0"/>
      </w:pPr>
      <w:r>
        <w:t>交付源代码、容器部署说明、数据库初始化与投影重建说明、黄金样例库、自动化验证记录、Demo 演示数据、用户操作指南与版本化分析规则。部署清单锁定 JDK、Spring Boot、解析器、Node、Vue、PostgreSQL 和 Neo4j 的实际兼容版本及许可证清单。</w:t>
      </w:r>
    </w:p>
    <w:p>
      <w:pPr>
        <w:pStyle w:val="Heading1"/>
        <w:keepNext/>
        <w:pageBreakBefore w:val="0"/>
      </w:pPr>
      <w:r>
        <w:t>16  分阶段实施计划</w:t>
      </w:r>
    </w:p>
    <w:p>
      <w:pPr>
        <w:keepNext w:val="0"/>
      </w:pPr>
      <w:r>
        <w:t>建议以2名开发、1名兼任架构与测试复核人员，约6周作为立项估算。该估算依赖样例可用、熟悉Java生态与允许使用模型；不是交付承诺。若实际单人实施，优先减少支持语法与场景，不删减证据和未知项机制。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944"/>
        <w:gridCol w:w="4752"/>
        <w:gridCol w:w="3528"/>
      </w:tblGrid>
      <w:tr>
        <w:trPr>
          <w:cantSplit/>
          <w:tblHeader/>
        </w:trPr>
        <w:tc>
          <w:tcPr>
            <w:tcW w:type="dxa" w:w="194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52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工作与依赖</w:t>
            </w:r>
          </w:p>
        </w:tc>
        <w:tc>
          <w:tcPr>
            <w:tcW w:type="dxa" w:w="352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退出标准</w:t>
            </w:r>
          </w:p>
        </w:tc>
      </w:tr>
      <w:tr>
        <w:trPr>
          <w:cantSplit/>
        </w:trPr>
        <w:tc>
          <w:tcPr>
            <w:tcW w:type="dxa" w:w="19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M0 第1周前半</w:t>
            </w:r>
          </w:p>
        </w:tc>
        <w:tc>
          <w:tcPr>
            <w:tcW w:type="dxa" w:w="475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确认来源、变更语义、基准集、版本试验</w:t>
            </w:r>
          </w:p>
        </w:tc>
        <w:tc>
          <w:tcPr>
            <w:tcW w:type="dxa" w:w="35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人工标注链路与反例可复查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M1 第1至2周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Collector、IR、Java/MyBatis/PG、Evidence</w:t>
            </w:r>
          </w:p>
        </w:tc>
        <w:tc>
          <w:tcPr>
            <w:tcW w:type="dxa" w:w="35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列到API链路及失败诊断通过</w:t>
            </w:r>
          </w:p>
        </w:tc>
      </w:tr>
      <w:tr>
        <w:trPr>
          <w:cantSplit/>
        </w:trPr>
        <w:tc>
          <w:tcPr>
            <w:tcW w:type="dxa" w:w="19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M2 第3周</w:t>
            </w:r>
          </w:p>
        </w:tc>
        <w:tc>
          <w:tcPr>
            <w:tcW w:type="dxa" w:w="475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Vue解析、API匹配、Neo4j投影与发布</w:t>
            </w:r>
          </w:p>
        </w:tc>
        <w:tc>
          <w:tcPr>
            <w:tcW w:type="dxa" w:w="35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页面到列路径与快照隔离通过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M3 第4周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Blast规则、评分、Case API与界面</w:t>
            </w:r>
          </w:p>
        </w:tc>
        <w:tc>
          <w:tcPr>
            <w:tcW w:type="dxa" w:w="35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复算与循环截断用例通过</w:t>
            </w:r>
          </w:p>
        </w:tc>
      </w:tr>
      <w:tr>
        <w:trPr>
          <w:cantSplit/>
        </w:trPr>
        <w:tc>
          <w:tcPr>
            <w:tcW w:type="dxa" w:w="194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M4 第5周</w:t>
            </w:r>
          </w:p>
        </w:tc>
        <w:tc>
          <w:tcPr>
            <w:tcW w:type="dxa" w:w="475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Agent工具、风险与测试计划、Reviewer</w:t>
            </w:r>
          </w:p>
        </w:tc>
        <w:tc>
          <w:tcPr>
            <w:tcW w:type="dxa" w:w="352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无证据结论被拦截；超时可降级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M5 第6周</w:t>
            </w:r>
          </w:p>
        </w:tc>
        <w:tc>
          <w:tcPr>
            <w:tcW w:type="dxa" w:w="475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权限、基准评测、恢复、Demo与打磨</w:t>
            </w:r>
          </w:p>
        </w:tc>
        <w:tc>
          <w:tcPr>
            <w:tcW w:type="dxa" w:w="352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第20章强制项全部通过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实现依赖与优先顺序</w:t>
      </w:r>
    </w:p>
    <w:p>
      <w:pPr>
        <w:keepNext w:val="0"/>
      </w:pPr>
      <w:r>
        <w:t>先定义 Node/Edge/Evidence 契约与黄金样例，再实现采集解析；图投影依赖稳定 IR；Blast 依赖关系方向和变更规则；Agent 依赖稳定工具接口。界面可用相同 JSON 契约开发，但演示前必须切换到真实分析结果，不能把固定假数据当扫描成功。</w:t>
      </w:r>
    </w:p>
    <w:p>
      <w:pPr>
        <w:keepNext w:val="0"/>
      </w:pPr>
      <w:r>
        <w:t>每阶段保留成果审查：解析漏报清单、证据定位失败、基准差异和本周新增支持语法。某解析能力延期时调整 capability manifest，并让报告显示缺失；不要通过降低未知项数量“改善”质量指标。</w:t>
      </w:r>
    </w:p>
    <w:p>
      <w:pPr>
        <w:pStyle w:val="Heading2"/>
        <w:keepNext/>
      </w:pPr>
      <w:r>
        <w:t>工作包</w:t>
      </w:r>
    </w:p>
    <w:p>
      <w:pPr>
        <w:keepNext w:val="0"/>
      </w:pPr>
      <w:r>
        <w:t>后端负责扫描状态机、图与证据、Case API；分析开发负责Java/MyBatis/PG与Vue适配器；架构测试负责黄金标注、评分校准、安全反例与演示验收。模型配置、数据权限、业务关键性与上线审批由实际责任人签认，文档不代替这些决策。</w:t>
      </w:r>
    </w:p>
    <w:p>
      <w:pPr>
        <w:pStyle w:val="Heading1"/>
        <w:keepNext/>
        <w:pageBreakBefore w:val="0"/>
      </w:pPr>
      <w:r>
        <w:t>17  比赛 Demo 流程</w:t>
      </w:r>
    </w:p>
    <w:p>
      <w:pPr>
        <w:keepNext w:val="0"/>
      </w:pPr>
      <w:r>
        <w:t>建议8分钟演示，主题为“设备标识变更会影响哪些地方，哪些地方其实不用改”。提前锁定一个可公开或脱敏的演示仓库提交、schema 文件、基准标签与模型配置；现场每个数量均来自本次结果。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32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演示动作</w:t>
            </w:r>
          </w:p>
        </w:tc>
        <w:tc>
          <w:tcPr>
            <w:tcW w:type="dxa" w:w="446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评委看到的证据</w:t>
            </w:r>
          </w:p>
        </w:tc>
      </w:tr>
      <w:tr>
        <w:trPr>
          <w:cantSplit/>
        </w:trPr>
        <w:tc>
          <w:tcPr>
            <w:tcW w:type="dxa" w:w="144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0至1分钟</w:t>
            </w:r>
          </w:p>
        </w:tc>
        <w:tc>
          <w:tcPr>
            <w:tcW w:type="dxa" w:w="432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说明字段变更与人工调查难点</w:t>
            </w:r>
          </w:p>
        </w:tc>
        <w:tc>
          <w:tcPr>
            <w:tcW w:type="dxa" w:w="446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真实源码、元数据和快照摘要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1至2分钟</w:t>
            </w:r>
          </w:p>
        </w:tc>
        <w:tc>
          <w:tcPr>
            <w:tcW w:type="dxa" w:w="432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输入 event_id 替换需求，确认语义</w:t>
            </w:r>
          </w:p>
        </w:tc>
        <w:tc>
          <w:tcPr>
            <w:tcW w:type="dxa" w:w="44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同名对象消歧与契约保持选项</w:t>
            </w:r>
          </w:p>
        </w:tc>
      </w:tr>
      <w:tr>
        <w:trPr>
          <w:cantSplit/>
        </w:trPr>
        <w:tc>
          <w:tcPr>
            <w:tcW w:type="dxa" w:w="144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2至4分钟</w:t>
            </w:r>
          </w:p>
        </w:tc>
        <w:tc>
          <w:tcPr>
            <w:tcW w:type="dxa" w:w="432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运行调查并展开页面到列路径</w:t>
            </w:r>
          </w:p>
        </w:tc>
        <w:tc>
          <w:tcPr>
            <w:tcW w:type="dxa" w:w="446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SQL、Java、API、Vue逐边来源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4至5分钟</w:t>
            </w:r>
          </w:p>
        </w:tc>
        <w:tc>
          <w:tcPr>
            <w:tcW w:type="dxa" w:w="432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切换兼容别名与动态SQL反例</w:t>
            </w:r>
          </w:p>
        </w:tc>
        <w:tc>
          <w:tcPr>
            <w:tcW w:type="dxa" w:w="44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不必改页面的理由、未知项与限制</w:t>
            </w:r>
          </w:p>
        </w:tc>
      </w:tr>
      <w:tr>
        <w:trPr>
          <w:cantSplit/>
        </w:trPr>
        <w:tc>
          <w:tcPr>
            <w:tcW w:type="dxa" w:w="144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5至6分钟</w:t>
            </w:r>
          </w:p>
        </w:tc>
        <w:tc>
          <w:tcPr>
            <w:tcW w:type="dxa" w:w="432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查看风险、迁移顺序和回归范围</w:t>
            </w:r>
          </w:p>
        </w:tc>
        <w:tc>
          <w:tcPr>
            <w:tcW w:type="dxa" w:w="446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每条计划引用风险或影响项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6至7分钟</w:t>
            </w:r>
          </w:p>
        </w:tc>
        <w:tc>
          <w:tcPr>
            <w:tcW w:type="dxa" w:w="432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Reviewer质疑一条弱证据结论</w:t>
            </w:r>
          </w:p>
        </w:tc>
        <w:tc>
          <w:tcPr>
            <w:tcW w:type="dxa" w:w="446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拒绝无依据结论并保留待确认</w:t>
            </w:r>
          </w:p>
        </w:tc>
      </w:tr>
      <w:tr>
        <w:trPr>
          <w:cantSplit/>
        </w:trPr>
        <w:tc>
          <w:tcPr>
            <w:tcW w:type="dxa" w:w="144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7至8分钟</w:t>
            </w:r>
          </w:p>
        </w:tc>
        <w:tc>
          <w:tcPr>
            <w:tcW w:type="dxa" w:w="432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归档Case并展示评测记录</w:t>
            </w:r>
          </w:p>
        </w:tc>
        <w:tc>
          <w:tcPr>
            <w:tcW w:type="dxa" w:w="446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重放一致性与实际测量数据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示范计划的工程顺序</w:t>
      </w:r>
    </w:p>
    <w:p>
      <w:pPr>
        <w:keepNext w:val="0"/>
      </w:pPr>
      <w:r>
        <w:t>若确认为业务标识替换：先验证映射唯一性与历史关联，再设计扩展字段、回填、兼容读写、消费者切换、观察与旧字段收缩。MVP 无业务数据访问权限时，只提出验证查询草案和验证责任人，不能声称回填安全或直接产出可执行上线脚本。</w:t>
      </w:r>
    </w:p>
    <w:p>
      <w:pPr>
        <w:keepNext w:val="0"/>
      </w:pPr>
      <w:r>
        <w:t>回滚需说明切换期间的新写入如何保留，不能仅写“把字段改回”。若删除旧标识后无法逆推，新写入会使回滚不可逆，应阻止进入收缩阶段，或要求备份映射与恢复演练。</w:t>
      </w:r>
    </w:p>
    <w:p>
      <w:pPr>
        <w:pStyle w:val="Heading2"/>
        <w:keepNext/>
      </w:pPr>
      <w:r>
        <w:t>演示兜底</w:t>
      </w:r>
    </w:p>
    <w:p>
      <w:pPr>
        <w:keepNext w:val="0"/>
      </w:pPr>
      <w:r>
        <w:t>网络或模型故障时切换到已生成的固定快照报告，并在屏幕标记“历史结果回放”；现场图算法与证据查询可独立演示。预录视频仅作兜底，明确说明其性质。禁止将预置影响数量包装为实时推理结果。</w:t>
      </w:r>
    </w:p>
    <w:p>
      <w:pPr>
        <w:pStyle w:val="Heading1"/>
        <w:keepNext/>
        <w:pageBreakBefore w:val="0"/>
      </w:pPr>
      <w:r>
        <w:t>18  后续演进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016"/>
        <w:gridCol w:w="4104"/>
        <w:gridCol w:w="4104"/>
      </w:tblGrid>
      <w:tr>
        <w:trPr>
          <w:cantSplit/>
          <w:tblHeader/>
        </w:trPr>
        <w:tc>
          <w:tcPr>
            <w:tcW w:type="dxa" w:w="201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10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新增采集与关系</w:t>
            </w:r>
          </w:p>
        </w:tc>
        <w:tc>
          <w:tcPr>
            <w:tcW w:type="dxa" w:w="410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前置条件与限制</w:t>
            </w:r>
          </w:p>
        </w:tc>
      </w:tr>
      <w:tr>
        <w:trPr>
          <w:cantSplit/>
        </w:trPr>
        <w:tc>
          <w:tcPr>
            <w:tcW w:type="dxa" w:w="201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Git History</w:t>
            </w:r>
          </w:p>
        </w:tc>
        <w:tc>
          <w:tcPr>
            <w:tcW w:type="dxa" w:w="410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提交、变更文件、重命名、修复关联</w:t>
            </w:r>
          </w:p>
        </w:tc>
        <w:tc>
          <w:tcPr>
            <w:tcW w:type="dxa" w:w="410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按快照维护身份；不把提交者当责任人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Temporal Coupling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文件共同变更与时间窗口统计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排除格式化、生成文件和大批量提交</w:t>
            </w:r>
          </w:p>
        </w:tc>
      </w:tr>
      <w:tr>
        <w:trPr>
          <w:cantSplit/>
        </w:trPr>
        <w:tc>
          <w:tcPr>
            <w:tcW w:type="dxa" w:w="201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Kettle</w:t>
            </w:r>
          </w:p>
        </w:tc>
        <w:tc>
          <w:tcPr>
            <w:tcW w:type="dxa" w:w="410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ktr/kjb步骤、表输入输出、任务连线</w:t>
            </w:r>
          </w:p>
        </w:tc>
        <w:tc>
          <w:tcPr>
            <w:tcW w:type="dxa" w:w="410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变量SQL保留未知；需作业配置版本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key模板、序列化结构、读写调用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运行时key与TTL不能只靠名称推断</w:t>
            </w:r>
          </w:p>
        </w:tc>
      </w:tr>
      <w:tr>
        <w:trPr>
          <w:cantSplit/>
        </w:trPr>
        <w:tc>
          <w:tcPr>
            <w:tcW w:type="dxa" w:w="201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Nginx</w:t>
            </w:r>
          </w:p>
        </w:tc>
        <w:tc>
          <w:tcPr>
            <w:tcW w:type="dxa" w:w="410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location、proxy_pass、rewrite</w:t>
            </w:r>
          </w:p>
        </w:tc>
        <w:tc>
          <w:tcPr>
            <w:tcW w:type="dxa" w:w="410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展开include；区分实际部署配置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Kafka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producer/consumer、topic、schema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主题动态命名、消费者组配置需补证</w:t>
            </w:r>
          </w:p>
        </w:tc>
      </w:tr>
      <w:tr>
        <w:trPr>
          <w:cantSplit/>
        </w:trPr>
        <w:tc>
          <w:tcPr>
            <w:tcW w:type="dxa" w:w="201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GIS</w:t>
            </w:r>
          </w:p>
        </w:tc>
        <w:tc>
          <w:tcPr>
            <w:tcW w:type="dxa" w:w="410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图层服务、字段映射、GlobalID关系</w:t>
            </w:r>
          </w:p>
        </w:tc>
        <w:tc>
          <w:tcPr>
            <w:tcW w:type="dxa" w:w="410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需厂商与服务元数据；不同ID不可混同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第三方接口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OpenAPI、客户端、同步任务、契约</w:t>
            </w:r>
          </w:p>
        </w:tc>
        <w:tc>
          <w:tcPr>
            <w:tcW w:type="dxa" w:w="41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访问与版本授权；对方内部依赖不可见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Temporal Coupling 的统计语义</w:t>
      </w:r>
    </w:p>
    <w:p>
      <w:pPr>
        <w:keepNext w:val="0"/>
        <w:keepLines/>
        <w:spacing w:before="120" w:after="160"/>
      </w:pPr>
      <w:r>
        <w:rPr>
          <w:rFonts w:ascii="Consolas" w:hAnsi="Consolas"/>
          <w:sz w:val="18"/>
        </w:rPr>
        <w:t>support(A,B) = count(commits touching both A and B)</w:t>
        <w:br/>
        <w:t>confidence(A-&gt;B) = support(A,B) / count(commits touching A)</w:t>
        <w:br/>
        <w:t>lift(A-&gt;B) = confidence(A-&gt;B) / P(commit touches B)</w:t>
      </w:r>
    </w:p>
    <w:p>
      <w:pPr>
        <w:keepNext w:val="0"/>
      </w:pPr>
      <w:r>
        <w:t>共同变更只说明历史关联，不是调用关系或因果关系。设置最小支持数、限定时间窗口、处理合并提交与大提交，并展示样本量；使用独立 CO_CHANGED_WITH 类型，只用于调查推荐，不混入确定性依赖传播。</w:t>
      </w:r>
    </w:p>
    <w:p>
      <w:pPr>
        <w:keepNext w:val="0"/>
      </w:pPr>
      <w:r>
        <w:t>进一步可引入运行时 Trace、契约测试和部署清单校正静态候选。运行时观察证明某路径曾经执行，不证明未观察路径不存在。融合时保留 STATIC、RUNTIME、HISTORY 的来源与时间范围，避免把多种不完整证据合成为虚假的完整性。</w:t>
      </w:r>
    </w:p>
    <w:p>
      <w:pPr>
        <w:keepNext w:val="0"/>
      </w:pPr>
      <w:r>
        <w:t>扩展顺序建议由真实漏报决定：先部署路由与测试索引，再外部任务和消息，最后专项 GIS。每增加一种资产，都要同步新增 Collector、证据格式、传播规则、权限控制、黄金样例与可见的能力边界。</w:t>
      </w:r>
    </w:p>
    <w:p>
      <w:pPr>
        <w:pStyle w:val="Heading1"/>
        <w:keepNext/>
        <w:pageBreakBefore w:val="0"/>
      </w:pPr>
      <w:r>
        <w:t>19  风险与限制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160"/>
        <w:gridCol w:w="2880"/>
        <w:gridCol w:w="5184"/>
      </w:tblGrid>
      <w:tr>
        <w:trPr>
          <w:cantSplit/>
          <w:tblHeader/>
        </w:trPr>
        <w:tc>
          <w:tcPr>
            <w:tcW w:type="dxa" w:w="216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518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应对与残余限制</w:t>
            </w:r>
          </w:p>
        </w:tc>
      </w:tr>
      <w:tr>
        <w:trPr>
          <w:cantSplit/>
        </w:trPr>
        <w:tc>
          <w:tcPr>
            <w:tcW w:type="dxa" w:w="21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动态行为不可见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反射、动态SQL或URL漏报</w:t>
            </w:r>
          </w:p>
        </w:tc>
        <w:tc>
          <w:tcPr>
            <w:tcW w:type="dxa" w:w="51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unknown清单与运行时补证；不承诺完全覆盖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接口匹配错误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同路径跨服务误连</w:t>
            </w:r>
          </w:p>
        </w:tc>
        <w:tc>
          <w:tcPr>
            <w:tcW w:type="dxa" w:w="51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服务映射、方法和路径联合校验；歧义保留</w:t>
            </w:r>
          </w:p>
        </w:tc>
      </w:tr>
      <w:tr>
        <w:trPr>
          <w:cantSplit/>
        </w:trPr>
        <w:tc>
          <w:tcPr>
            <w:tcW w:type="dxa" w:w="21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图谱过度扩散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所有页面都被判需修改</w:t>
            </w:r>
          </w:p>
        </w:tc>
        <w:tc>
          <w:tcPr>
            <w:tcW w:type="dxa" w:w="51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禁用归属传播；识别兼容边界；人工复核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版本错配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代码与数据库不是同一发布</w:t>
            </w:r>
          </w:p>
        </w:tc>
        <w:tc>
          <w:tcPr>
            <w:tcW w:type="dxa" w:w="51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release manifest；未核实则显式降级</w:t>
            </w:r>
          </w:p>
        </w:tc>
      </w:tr>
      <w:tr>
        <w:trPr>
          <w:cantSplit/>
        </w:trPr>
        <w:tc>
          <w:tcPr>
            <w:tcW w:type="dxa" w:w="21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模型幻觉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虚构依赖或测试文件</w:t>
            </w:r>
          </w:p>
        </w:tc>
        <w:tc>
          <w:tcPr>
            <w:tcW w:type="dxa" w:w="51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结构化校验与引用验证；工具事实优先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评分误导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启发式分数被理解为故障概率</w:t>
            </w:r>
          </w:p>
        </w:tc>
        <w:tc>
          <w:tcPr>
            <w:tcW w:type="dxa" w:w="51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公开公式、版本与输入；提供区间和理由</w:t>
            </w:r>
          </w:p>
        </w:tc>
      </w:tr>
      <w:tr>
        <w:trPr>
          <w:cantSplit/>
        </w:trPr>
        <w:tc>
          <w:tcPr>
            <w:tcW w:type="dxa" w:w="216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存储运维成本</w:t>
            </w:r>
          </w:p>
        </w:tc>
        <w:tc>
          <w:tcPr>
            <w:tcW w:type="dxa" w:w="2880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双库备份与状态复杂</w:t>
            </w:r>
          </w:p>
        </w:tc>
        <w:tc>
          <w:tcPr>
            <w:tcW w:type="dxa" w:w="518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单事实源、投影重建、故障演练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评测偏差</w:t>
            </w:r>
          </w:p>
        </w:tc>
        <w:tc>
          <w:tcPr>
            <w:tcW w:type="dxa" w:w="288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样例过小或与规则同源</w:t>
            </w:r>
          </w:p>
        </w:tc>
        <w:tc>
          <w:tcPr>
            <w:tcW w:type="dxa" w:w="51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保留未见项目和对抗样例；公布分母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不保证的能力</w:t>
      </w:r>
    </w:p>
    <w:p>
      <w:pPr>
        <w:keepNext w:val="0"/>
      </w:pPr>
      <w:r>
        <w:t>静态图不是精确的数据流分析，也不是生产全量调用图。MVP 不能证明所有调用路径可达，不能完整解释动态权限、数据库运行性能、历史数据正确性或第三方系统内部实现。测试范围建议不等于测试已执行，更不等于上线安全证明。</w:t>
      </w:r>
    </w:p>
    <w:p>
      <w:pPr>
        <w:keepNext w:val="0"/>
      </w:pPr>
      <w:r>
        <w:t>若项目只有源码且缺少运行配置，应把 Profile、路由、数据库绑定与版本对齐作为外部假设。在报告首页摘要中呈现这些假设及其影响，禁止仅在附件深处记录。</w:t>
      </w:r>
    </w:p>
    <w:p>
      <w:pPr>
        <w:pStyle w:val="Heading2"/>
        <w:keepNext/>
      </w:pPr>
      <w:r>
        <w:t>评审待决事项</w:t>
      </w:r>
    </w:p>
    <w:p>
      <w:pPr>
        <w:keepNext w:val="0"/>
      </w:pPr>
      <w:r>
        <w:t>需由公司确认模型可用范围、源码保留期限、真实项目授权、比赛时间和硬件预算。需由技术负责人确认首批JDK与框架版本、仓库数量、标识替换规则和业务关键性。关键条件变化通过设计修订与Case新版本处理，不回写历史证据。</w:t>
      </w:r>
    </w:p>
    <w:p>
      <w:pPr>
        <w:pStyle w:val="Heading1"/>
        <w:keepNext/>
        <w:pageBreakBefore w:val="0"/>
      </w:pPr>
      <w:r>
        <w:t>20  验收标准</w:t>
      </w:r>
    </w:p>
    <w:p>
      <w:pPr>
        <w:keepNext w:val="0"/>
      </w:pPr>
      <w:r>
        <w:t>以下是建议的 MVP 验收门槛，不是已测结果。建立独立黄金集：至少30个变更案例，覆盖5类变更，每类至少3例，另含10个动态或歧义反例；人工标注节点、直接边、跨层路径、兼容边界与未知项。两名评审独立标注并裁决分歧，留存标签版本。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008"/>
        <w:gridCol w:w="3024"/>
        <w:gridCol w:w="6192"/>
      </w:tblGrid>
      <w:tr>
        <w:trPr>
          <w:cantSplit/>
          <w:tblHeader/>
        </w:trPr>
        <w:tc>
          <w:tcPr>
            <w:tcW w:type="dxa" w:w="100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24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验收内容</w:t>
            </w:r>
          </w:p>
        </w:tc>
        <w:tc>
          <w:tcPr>
            <w:tcW w:type="dxa" w:w="6192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建议通过门槛</w:t>
            </w:r>
          </w:p>
        </w:tc>
      </w:tr>
      <w:tr>
        <w:trPr>
          <w:cantSplit/>
        </w:trPr>
        <w:tc>
          <w:tcPr>
            <w:tcW w:type="dxa" w:w="10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AC01</w:t>
            </w:r>
          </w:p>
        </w:tc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节点与直接边识别</w:t>
            </w:r>
          </w:p>
        </w:tc>
        <w:tc>
          <w:tcPr>
            <w:tcW w:type="dxa" w:w="619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支持语法黄金集 precision≥95%，recall≥90%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AC02</w:t>
            </w:r>
          </w:p>
        </w:tc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列到页面跨层链路</w:t>
            </w:r>
          </w:p>
        </w:tc>
        <w:tc>
          <w:tcPr>
            <w:tcW w:type="dxa" w:w="619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有效目标路径召回≥90%；失败逐例解释</w:t>
            </w:r>
          </w:p>
        </w:tc>
      </w:tr>
      <w:tr>
        <w:trPr>
          <w:cantSplit/>
        </w:trPr>
        <w:tc>
          <w:tcPr>
            <w:tcW w:type="dxa" w:w="10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AC03</w:t>
            </w:r>
          </w:p>
        </w:tc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证据可定位</w:t>
            </w:r>
          </w:p>
        </w:tc>
        <w:tc>
          <w:tcPr>
            <w:tcW w:type="dxa" w:w="619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确定边100%具备有效定位、哈希与规则版本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AC04</w:t>
            </w:r>
          </w:p>
        </w:tc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未知项与反例</w:t>
            </w:r>
          </w:p>
        </w:tc>
        <w:tc>
          <w:tcPr>
            <w:tcW w:type="dxa" w:w="619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动态反例100%不伪报确定；未知清单完整</w:t>
            </w:r>
          </w:p>
        </w:tc>
      </w:tr>
      <w:tr>
        <w:trPr>
          <w:cantSplit/>
        </w:trPr>
        <w:tc>
          <w:tcPr>
            <w:tcW w:type="dxa" w:w="10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AC05</w:t>
            </w:r>
          </w:p>
        </w:tc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变更语义与评分</w:t>
            </w:r>
          </w:p>
        </w:tc>
        <w:tc>
          <w:tcPr>
            <w:tcW w:type="dxa" w:w="619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兼容别名不误报必须改页面；示例复算一致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AC06</w:t>
            </w:r>
          </w:p>
        </w:tc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循环与资源上限</w:t>
            </w:r>
          </w:p>
        </w:tc>
        <w:tc>
          <w:tcPr>
            <w:tcW w:type="dxa" w:w="619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循环终止；超限必有truncated与边界摘要</w:t>
            </w:r>
          </w:p>
        </w:tc>
      </w:tr>
      <w:tr>
        <w:trPr>
          <w:cantSplit/>
        </w:trPr>
        <w:tc>
          <w:tcPr>
            <w:tcW w:type="dxa" w:w="10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AC07</w:t>
            </w:r>
          </w:p>
        </w:tc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隔离与版本</w:t>
            </w:r>
          </w:p>
        </w:tc>
        <w:tc>
          <w:tcPr>
            <w:tcW w:type="dxa" w:w="619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跨项目访问全部拒绝；新扫描不改旧Case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AC08</w:t>
            </w:r>
          </w:p>
        </w:tc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投影恢复</w:t>
            </w:r>
          </w:p>
        </w:tc>
        <w:tc>
          <w:tcPr>
            <w:tcW w:type="dxa" w:w="619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中断重放无重复；内容摘要一致后才发布</w:t>
            </w:r>
          </w:p>
        </w:tc>
      </w:tr>
      <w:tr>
        <w:trPr>
          <w:cantSplit/>
        </w:trPr>
        <w:tc>
          <w:tcPr>
            <w:tcW w:type="dxa" w:w="10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AC09</w:t>
            </w:r>
          </w:p>
        </w:tc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Agent可靠性</w:t>
            </w:r>
          </w:p>
        </w:tc>
        <w:tc>
          <w:tcPr>
            <w:tcW w:type="dxa" w:w="619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无效引用被拦截；超时保留图报告与诊断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AC10</w:t>
            </w:r>
          </w:p>
        </w:tc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计划与测试</w:t>
            </w:r>
          </w:p>
        </w:tc>
        <w:tc>
          <w:tcPr>
            <w:tcW w:type="dxa" w:w="619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100%条目有关联理由；未知测试不编文件名</w:t>
            </w:r>
          </w:p>
        </w:tc>
      </w:tr>
      <w:tr>
        <w:trPr>
          <w:cantSplit/>
        </w:trPr>
        <w:tc>
          <w:tcPr>
            <w:tcW w:type="dxa" w:w="100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AC11</w:t>
            </w:r>
          </w:p>
        </w:tc>
        <w:tc>
          <w:tcPr>
            <w:tcW w:type="dxa" w:w="3024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只读与注入防护</w:t>
            </w:r>
          </w:p>
        </w:tc>
        <w:tc>
          <w:tcPr>
            <w:tcW w:type="dxa" w:w="6192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恶意注释与XML不得触发网络或系统写入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AC12</w:t>
            </w:r>
          </w:p>
        </w:tc>
        <w:tc>
          <w:tcPr>
            <w:tcW w:type="dxa" w:w="302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交互与交付</w:t>
            </w:r>
          </w:p>
        </w:tc>
        <w:tc>
          <w:tcPr>
            <w:tcW w:type="dxa" w:w="619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三工作区、列表替代、导出、审批与修订可用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t>性能评测协议</w:t>
      </w:r>
    </w:p>
    <w:p>
      <w:pPr>
        <w:keepNext w:val="0"/>
      </w:pPr>
      <w:r>
        <w:t>建议在8核CPU、16GB内存、SSD、单扫描并发下，以不超过10万行源码和10万条图边的样例测量。冷扫描目标≤10分钟；预热后节点搜索p95≤1秒、有界Blast p95≤5秒；含模型调查目标≤120秒。固定数据、依赖与硬件，至少20次查询记录p50/p95/最大值，冷扫描单独报告；模型网络等待单列。达不到时记录测量并调整容量或规则，不能删除慢样本。</w:t>
      </w:r>
    </w:p>
    <w:p>
      <w:pPr>
        <w:keepNext w:val="0"/>
      </w:pPr>
      <w:r>
        <w:t>准确率分母只包括已声明支持的结构，同时必须报告全库文件数、成功解析数、不支持数和失败数。precision=TP/(TP+FP)，recall=TP/(TP+FN)；分母为0时标N/A。黄金集不能由同一解析器自动生成，且应包含一个未用于调参的留出项目。</w:t>
      </w:r>
    </w:p>
    <w:p>
      <w:pPr>
        <w:keepNext w:val="0"/>
      </w:pPr>
      <w:r>
        <w:t>最终交付验收包包含测试记录、结果JSON、证据抽检、性能日志、恢复演练、权限反例、Demo录像或现场记录、已知限制与版本清单。所有强制项通过后才标MVP完成；审批不消除第19章的静态分析边界。</w:t>
      </w:r>
    </w:p>
    <w:p>
      <w:pPr>
        <w:pStyle w:val="Heading1"/>
        <w:keepNext/>
        <w:pageBreakBefore/>
      </w:pPr>
      <w:r>
        <w:t>附录 A  技术依据与术语</w:t>
      </w:r>
    </w:p>
    <w:p>
      <w:pPr>
        <w:keepNext w:val="0"/>
      </w:pPr>
      <w:r>
        <w:t>下列官方资料用于核对解析器和平台能力。具体版本须在实施时完成兼容性验证并锁定；本设计的评分、预算、工期与验收阈值均为工程建议，不是这些资料的性能承诺。查阅日期为2026年9月11日。</w:t>
      </w:r>
    </w:p>
    <w:p>
      <w:pPr>
        <w:keepNext w:val="0"/>
      </w:pPr>
      <w:r>
        <w:t>[R1] JavaParser Getting Started</w:t>
        <w:br/>
        <w:t>https://javaparser.org/getting-started.html</w:t>
      </w:r>
    </w:p>
    <w:p>
      <w:pPr>
        <w:keepNext w:val="0"/>
      </w:pPr>
      <w:r>
        <w:t>[R2] Spring Framework Mapping Requests</w:t>
        <w:br/>
        <w:t>https://docs.spring.io/spring-framework/reference/web/webmvc/mvc-controller/ann-requestmapping.html</w:t>
      </w:r>
    </w:p>
    <w:p>
      <w:pPr>
        <w:keepNext w:val="0"/>
      </w:pPr>
      <w:r>
        <w:t>[R3] MyBatis 3 Dynamic SQL</w:t>
        <w:br/>
        <w:t>https://mybatis.org/mybatis-3/dynamic-sql.html</w:t>
      </w:r>
    </w:p>
    <w:p>
      <w:pPr>
        <w:keepNext w:val="0"/>
      </w:pPr>
      <w:r>
        <w:t>[R4] JSqlParser Usage</w:t>
        <w:br/>
        <w:t>https://jsqlparser.github.io/JSqlParser/usage.html</w:t>
      </w:r>
    </w:p>
    <w:p>
      <w:pPr>
        <w:keepNext w:val="0"/>
      </w:pPr>
      <w:r>
        <w:t>[R5] PostgreSQL Dependency Tracking</w:t>
        <w:br/>
        <w:t>https://www.postgresql.org/docs/current/ddl-depend.html</w:t>
      </w:r>
    </w:p>
    <w:p>
      <w:pPr>
        <w:keepNext w:val="0"/>
      </w:pPr>
      <w:r>
        <w:t>[R6] Vue SFC Syntax Specification</w:t>
        <w:br/>
        <w:t>https://vuejs.org/api/sfc-spec</w:t>
      </w:r>
    </w:p>
    <w:p>
      <w:pPr>
        <w:keepNext w:val="0"/>
      </w:pPr>
      <w:r>
        <w:t>[R7] Babel Parser</w:t>
        <w:br/>
        <w:t>https://babeljs.io/docs/babel-parser</w:t>
      </w:r>
    </w:p>
    <w:p>
      <w:pPr>
        <w:keepNext w:val="0"/>
      </w:pPr>
      <w:r>
        <w:t>[R8] Neo4j Cypher Variable Length Paths</w:t>
        <w:br/>
        <w:t>https://neo4j.com/docs/cypher-manual/current/patterns/reference/variable-length-paths/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776"/>
            <w:shd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/>
                <w:color w:val="FFFFFF"/>
                <w:sz w:val="18"/>
              </w:rPr>
              <w:t>本设计含义</w:t>
            </w:r>
          </w:p>
        </w:tc>
      </w:tr>
      <w:tr>
        <w:trPr>
          <w:cantSplit/>
        </w:trPr>
        <w:tc>
          <w:tcPr>
            <w:tcW w:type="dxa" w:w="244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Snapshot</w:t>
            </w:r>
          </w:p>
        </w:tc>
        <w:tc>
          <w:tcPr>
            <w:tcW w:type="dxa" w:w="77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一次来源与规则固定的不可变分析视图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Evidence Chain</w:t>
            </w:r>
          </w:p>
        </w:tc>
        <w:tc>
          <w:tcPr>
            <w:tcW w:type="dxa" w:w="77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可逐边回查的依赖路径及其证据集合</w:t>
            </w:r>
          </w:p>
        </w:tc>
      </w:tr>
      <w:tr>
        <w:trPr>
          <w:cantSplit/>
        </w:trPr>
        <w:tc>
          <w:tcPr>
            <w:tcW w:type="dxa" w:w="244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Blast Radius</w:t>
            </w:r>
          </w:p>
        </w:tc>
        <w:tc>
          <w:tcPr>
            <w:tcW w:type="dxa" w:w="77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在给定变更语义和扫描范围内的待评估集合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Investigation Case</w:t>
            </w:r>
          </w:p>
        </w:tc>
        <w:tc>
          <w:tcPr>
            <w:tcW w:type="dxa" w:w="77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调查输入、过程、结果及评审修订的聚合</w:t>
            </w:r>
          </w:p>
        </w:tc>
      </w:tr>
      <w:tr>
        <w:trPr>
          <w:cantSplit/>
        </w:trPr>
        <w:tc>
          <w:tcPr>
            <w:tcW w:type="dxa" w:w="2448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7776"/>
            <w:shd w:fill="E5EF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证据不足、不支持、无权限或未完成调查的边界</w:t>
            </w:r>
          </w:p>
        </w:tc>
      </w:tr>
    </w:tbl>
    <w:p>
      <w:pPr>
        <w:keepNext w:val="0"/>
      </w:pPr>
    </w:p>
    <w:sectPr>
      <w:headerReference r:id="rId10" w:type="default"/>
      <w:headerReference r:id="rId11" w:type="first"/>
      <w:footerReference r:id="rId12" w:type="default"/>
      <w:footerReference r:id="rId13" w:type="first"/>
      <w:footerReference w:type="even" r:id="rId7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t xml:space="preserve">ArchLens  |  系统设计  |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eastAsia="等线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eastAsia="等线"/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等线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等线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等线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等线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等线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eastAsia="等线"/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等线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ArchLens 企业系统架构取证智能体设计文档</dc:title>
  <cp:lastModifiedBy>python-docx</cp:lastModifiedBy>
  <cp:revision>1</cp:revision>
  <dcterms:modified xsi:type="dcterms:W3CDTF">2026-09-11T01:35:40Z</dcterms:modified>
  <dc:subject>AI Agent 比赛立项与技术设计</dc:subject>
  <dc:creator>ArchLens</dc:creator>
  <cp:keywords>Architecture Forensics,Evidence Chain,Blast Radius</cp:keywords>
</cp:coreProperties>
</file>