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F4E79"/>
          <w:sz w:val="48"/>
        </w:rPr>
        <w:t>Azure Coats Mexico Shipment Automation</w:t>
      </w:r>
    </w:p>
    <w:p>
      <w:pPr>
        <w:jc w:val="center"/>
      </w:pPr>
      <w:r>
        <w:rPr>
          <w:b w:val="0"/>
          <w:i w:val="0"/>
          <w:color w:val="595959"/>
          <w:sz w:val="28"/>
        </w:rPr>
        <w:t>Manager and Third-Party IT Handoff Manual</w:t>
      </w:r>
    </w:p>
    <w:p>
      <w:pPr>
        <w:jc w:val="center"/>
      </w:pPr>
      <w:r>
        <w:rPr>
          <w:b w:val="0"/>
          <w:i/>
          <w:color w:val="595959"/>
          <w:sz w:val="20"/>
        </w:rPr>
        <w:t>Prepared for operational ownership transfer | As of May 13, 2026</w:t>
      </w:r>
    </w:p>
    <w:tbl>
      <w:tblPr>
        <w:tblW w:type="auto" w:w="0"/>
        <w:jc w:val="center"/>
        <w:tblLayout w:type="autofit"/>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D9EAF7"/>
            <w:tcMar>
              <w:top w:w="130" w:type="dxa"/>
              <w:start w:w="160" w:type="dxa"/>
              <w:bottom w:w="130" w:type="dxa"/>
              <w:end w:w="160" w:type="dxa"/>
            </w:tcMar>
          </w:tcPr>
          <w:p>
            <w:pPr>
              <w:spacing w:after="60"/>
            </w:pPr>
            <w:r>
              <w:rPr>
                <w:b/>
                <w:i w:val="0"/>
                <w:color w:val="1F4E79"/>
              </w:rPr>
              <w:t>Purpose of this document</w:t>
            </w:r>
          </w:p>
          <w:p>
            <w:pPr>
              <w:spacing w:after="0"/>
            </w:pPr>
            <w:r>
              <w:rPr>
                <w:sz w:val="19"/>
              </w:rPr>
              <w:t>This manual explains what the Coats Mexico Azure automation does, where it runs, how a non-Azure manager can supervise it, and what a third-party IT team needs in order to maintain, troubleshoot, redeploy, or safely extend it.</w:t>
            </w:r>
          </w:p>
        </w:tc>
      </w:tr>
    </w:tbl>
    <w:p/>
    <w:p>
      <w:pPr>
        <w:pStyle w:val="Heading1"/>
        <w:keepNext/>
      </w:pPr>
      <w:r>
        <w:t>Executive Summary</w:t>
      </w:r>
    </w:p>
    <w:p>
      <w:r>
        <w:t>The Coats Mexico shipment process is now an event-driven Azure automation. When an approved Excel workbook is uploaded to the Komar Public SharePoint folder, Microsoft Graph notifies an Azure Function. The Function starts an Azure Data Factory pipeline, lands the raw workbook in Blob Storage, extracts and validates shipment data, stages the results in SQL, and creates unapproved receipt records in P21Import only when validation passes.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040"/>
        <w:gridCol w:w="5040"/>
      </w:tblGrid>
      <w:tr>
        <w:trPr>
          <w:tblHeader w:val="true"/>
        </w:trPr>
        <w:tc>
          <w:tcPr>
            <w:tcW w:type="dxa" w:w="2376"/>
            <w:shd w:fill="1F4E79"/>
            <w:tcMar>
              <w:top w:w="80" w:type="dxa"/>
              <w:start w:w="100" w:type="dxa"/>
              <w:bottom w:w="80" w:type="dxa"/>
              <w:end w:w="100" w:type="dxa"/>
            </w:tcMar>
            <w:vAlign w:val="center"/>
          </w:tcPr>
          <w:p>
            <w:pPr>
              <w:jc w:val="center"/>
            </w:pPr>
            <w:r>
              <w:rPr>
                <w:b/>
                <w:i w:val="0"/>
                <w:color w:val="FFFFFF"/>
                <w:sz w:val="17"/>
              </w:rPr>
              <w:t>Area</w:t>
            </w:r>
          </w:p>
        </w:tc>
        <w:tc>
          <w:tcPr>
            <w:tcW w:type="dxa" w:w="7128"/>
            <w:shd w:fill="1F4E79"/>
            <w:tcMar>
              <w:top w:w="80" w:type="dxa"/>
              <w:start w:w="100" w:type="dxa"/>
              <w:bottom w:w="80" w:type="dxa"/>
              <w:end w:w="100" w:type="dxa"/>
            </w:tcMar>
            <w:vAlign w:val="center"/>
          </w:tcPr>
          <w:p>
            <w:pPr>
              <w:jc w:val="center"/>
            </w:pPr>
            <w:r>
              <w:rPr>
                <w:b/>
                <w:i w:val="0"/>
                <w:color w:val="FFFFFF"/>
                <w:sz w:val="17"/>
              </w:rPr>
              <w:t>Current behavior</w:t>
            </w:r>
          </w:p>
        </w:tc>
      </w:tr>
      <w:tr>
        <w:tc>
          <w:tcPr>
            <w:tcW w:type="dxa" w:w="2376"/>
            <w:tcMar>
              <w:top w:w="80" w:type="dxa"/>
              <w:start w:w="100" w:type="dxa"/>
              <w:bottom w:w="80" w:type="dxa"/>
              <w:end w:w="100" w:type="dxa"/>
            </w:tcMar>
            <w:vAlign w:val="center"/>
          </w:tcPr>
          <w:p>
            <w:pPr>
              <w:spacing w:after="0"/>
            </w:pPr>
            <w:r>
              <w:rPr>
                <w:sz w:val="17"/>
              </w:rPr>
              <w:t>Trigger</w:t>
            </w:r>
          </w:p>
        </w:tc>
        <w:tc>
          <w:tcPr>
            <w:tcW w:type="dxa" w:w="7128"/>
            <w:tcMar>
              <w:top w:w="80" w:type="dxa"/>
              <w:start w:w="100" w:type="dxa"/>
              <w:bottom w:w="80" w:type="dxa"/>
              <w:end w:w="100" w:type="dxa"/>
            </w:tcMar>
            <w:vAlign w:val="center"/>
          </w:tcPr>
          <w:p>
            <w:pPr>
              <w:spacing w:after="0"/>
            </w:pPr>
            <w:r>
              <w:rPr>
                <w:sz w:val="17"/>
              </w:rPr>
              <w:t>Microsoft Graph change notification for the SharePoint document library. No time-based ADF trigger is used.</w:t>
            </w:r>
          </w:p>
        </w:tc>
      </w:tr>
      <w:tr>
        <w:tc>
          <w:tcPr>
            <w:tcW w:type="dxa" w:w="2376"/>
            <w:tcMar>
              <w:top w:w="80" w:type="dxa"/>
              <w:start w:w="100" w:type="dxa"/>
              <w:bottom w:w="80" w:type="dxa"/>
              <w:end w:w="100" w:type="dxa"/>
            </w:tcMar>
            <w:vAlign w:val="center"/>
          </w:tcPr>
          <w:p>
            <w:pPr>
              <w:spacing w:after="0"/>
            </w:pPr>
            <w:r>
              <w:rPr>
                <w:sz w:val="17"/>
              </w:rPr>
              <w:t>Source files</w:t>
            </w:r>
          </w:p>
        </w:tc>
        <w:tc>
          <w:tcPr>
            <w:tcW w:type="dxa" w:w="7128"/>
            <w:tcMar>
              <w:top w:w="80" w:type="dxa"/>
              <w:start w:w="100" w:type="dxa"/>
              <w:bottom w:w="80" w:type="dxa"/>
              <w:end w:w="100" w:type="dxa"/>
            </w:tcMar>
            <w:vAlign w:val="center"/>
          </w:tcPr>
          <w:p>
            <w:pPr>
              <w:spacing w:after="0"/>
            </w:pPr>
            <w:r>
              <w:rPr>
                <w:sz w:val="17"/>
              </w:rPr>
              <w:t>Only normal .xlsx files in the Coats Mexico Shipment Reports folder are processed. Excel temp files beginning with ~$ are ignored.</w:t>
            </w:r>
          </w:p>
        </w:tc>
      </w:tr>
      <w:tr>
        <w:tc>
          <w:tcPr>
            <w:tcW w:type="dxa" w:w="2376"/>
            <w:tcMar>
              <w:top w:w="80" w:type="dxa"/>
              <w:start w:w="100" w:type="dxa"/>
              <w:bottom w:w="80" w:type="dxa"/>
              <w:end w:w="100" w:type="dxa"/>
            </w:tcMar>
            <w:vAlign w:val="center"/>
          </w:tcPr>
          <w:p>
            <w:pPr>
              <w:spacing w:after="0"/>
            </w:pPr>
            <w:r>
              <w:rPr>
                <w:sz w:val="17"/>
              </w:rPr>
              <w:t>Validation gate</w:t>
            </w:r>
          </w:p>
        </w:tc>
        <w:tc>
          <w:tcPr>
            <w:tcW w:type="dxa" w:w="7128"/>
            <w:tcMar>
              <w:top w:w="80" w:type="dxa"/>
              <w:start w:w="100" w:type="dxa"/>
              <w:bottom w:w="80" w:type="dxa"/>
              <w:end w:w="100" w:type="dxa"/>
            </w:tcMar>
            <w:vAlign w:val="center"/>
          </w:tcPr>
          <w:p>
            <w:pPr>
              <w:spacing w:after="0"/>
            </w:pPr>
            <w:r>
              <w:rPr>
                <w:sz w:val="17"/>
              </w:rPr>
              <w:t>Blocking validation issues stop the run and send an email. P21Import receipt records are not created when blocking issues exist.</w:t>
            </w:r>
          </w:p>
        </w:tc>
      </w:tr>
      <w:tr>
        <w:tc>
          <w:tcPr>
            <w:tcW w:type="dxa" w:w="2376"/>
            <w:tcMar>
              <w:top w:w="80" w:type="dxa"/>
              <w:start w:w="100" w:type="dxa"/>
              <w:bottom w:w="80" w:type="dxa"/>
              <w:end w:w="100" w:type="dxa"/>
            </w:tcMar>
            <w:vAlign w:val="center"/>
          </w:tcPr>
          <w:p>
            <w:pPr>
              <w:spacing w:after="0"/>
            </w:pPr>
            <w:r>
              <w:rPr>
                <w:sz w:val="17"/>
              </w:rPr>
              <w:t>Successful run</w:t>
            </w:r>
          </w:p>
        </w:tc>
        <w:tc>
          <w:tcPr>
            <w:tcW w:type="dxa" w:w="7128"/>
            <w:tcMar>
              <w:top w:w="80" w:type="dxa"/>
              <w:start w:w="100" w:type="dxa"/>
              <w:bottom w:w="80" w:type="dxa"/>
              <w:end w:w="100" w:type="dxa"/>
            </w:tcMar>
            <w:vAlign w:val="center"/>
          </w:tcPr>
          <w:p>
            <w:pPr>
              <w:spacing w:after="0"/>
            </w:pPr>
            <w:r>
              <w:rPr>
                <w:sz w:val="17"/>
              </w:rPr>
              <w:t>Creates P21Import container building, vessel receipt, vessel/container, container receipt header, and receipt line records. Container receipt headers remain Unapproved in the P21 GUI.</w:t>
            </w:r>
          </w:p>
        </w:tc>
      </w:tr>
      <w:tr>
        <w:tc>
          <w:tcPr>
            <w:tcW w:type="dxa" w:w="2376"/>
            <w:tcMar>
              <w:top w:w="80" w:type="dxa"/>
              <w:start w:w="100" w:type="dxa"/>
              <w:bottom w:w="80" w:type="dxa"/>
              <w:end w:w="100" w:type="dxa"/>
            </w:tcMar>
            <w:vAlign w:val="center"/>
          </w:tcPr>
          <w:p>
            <w:pPr>
              <w:spacing w:after="0"/>
            </w:pPr>
            <w:r>
              <w:rPr>
                <w:sz w:val="17"/>
              </w:rPr>
              <w:t>Manual step still required</w:t>
            </w:r>
          </w:p>
        </w:tc>
        <w:tc>
          <w:tcPr>
            <w:tcW w:type="dxa" w:w="7128"/>
            <w:tcMar>
              <w:top w:w="80" w:type="dxa"/>
              <w:start w:w="100" w:type="dxa"/>
              <w:bottom w:w="80" w:type="dxa"/>
              <w:end w:w="100" w:type="dxa"/>
            </w:tcMar>
            <w:vAlign w:val="center"/>
          </w:tcPr>
          <w:p>
            <w:pPr>
              <w:spacing w:after="0"/>
            </w:pPr>
            <w:r>
              <w:rPr>
                <w:sz w:val="17"/>
              </w:rPr>
              <w:t>P21 Container Receipt Bin Allocations / document_line_bin automation is intentionally skipped for now.</w:t>
            </w:r>
          </w:p>
        </w:tc>
      </w:tr>
    </w:tbl>
    <w:p/>
    <w:tbl>
      <w:tblPr>
        <w:tblW w:type="auto" w:w="0"/>
        <w:jc w:val="center"/>
        <w:tblLayout w:type="autofit"/>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FF2CC"/>
            <w:tcMar>
              <w:top w:w="130" w:type="dxa"/>
              <w:start w:w="160" w:type="dxa"/>
              <w:bottom w:w="130" w:type="dxa"/>
              <w:end w:w="160" w:type="dxa"/>
            </w:tcMar>
          </w:tcPr>
          <w:p>
            <w:pPr>
              <w:spacing w:after="60"/>
            </w:pPr>
            <w:r>
              <w:rPr>
                <w:b/>
                <w:i w:val="0"/>
                <w:color w:val="1F4E79"/>
              </w:rPr>
              <w:t>Security change from the original draft</w:t>
            </w:r>
          </w:p>
          <w:p>
            <w:pPr>
              <w:spacing w:after="0"/>
            </w:pPr>
            <w:r>
              <w:rPr>
                <w:sz w:val="19"/>
              </w:rPr>
              <w:t>The original draft included a plaintext SQL password. This enhanced version intentionally does not store passwords, client secrets, Function keys, or notification URLs with embedded codes. A manager should transfer those through the company's approved password vault or Azure Key Vault access process.</w:t>
            </w:r>
          </w:p>
        </w:tc>
      </w:tr>
    </w:tbl>
    <w:p/>
    <w:p>
      <w:pPr>
        <w:pStyle w:val="Heading1"/>
        <w:keepNext/>
      </w:pPr>
      <w:r>
        <w:t>Plain-English Process</w:t>
      </w:r>
    </w:p>
    <w:p>
      <w:pPr>
        <w:pStyle w:val="ListBullet"/>
      </w:pPr>
      <w:r>
        <w:t>Mary or the vendor drops a shipment workbook into SharePoint using the required filename format.</w:t>
      </w:r>
    </w:p>
    <w:p>
      <w:pPr>
        <w:pStyle w:val="ListBullet"/>
      </w:pPr>
      <w:r>
        <w:t>Microsoft Graph sends a notification to the Azure Function.</w:t>
      </w:r>
    </w:p>
    <w:p>
      <w:pPr>
        <w:pStyle w:val="ListBullet"/>
      </w:pPr>
      <w:r>
        <w:t>The Function filters out irrelevant files and starts the ADF pipeline with the SharePoint drive item ID.</w:t>
      </w:r>
    </w:p>
    <w:p>
      <w:pPr>
        <w:pStyle w:val="ListBullet"/>
      </w:pPr>
      <w:r>
        <w:t>ADF calls the Function again to download the workbook, save the original file to Blob Storage, and extract rows/comments into JSON.</w:t>
      </w:r>
    </w:p>
    <w:p>
      <w:pPr>
        <w:pStyle w:val="ListBullet"/>
      </w:pPr>
      <w:r>
        <w:t>ADF stages the JSON in SQL and validates supplier part, PO, canceled line, duplicate mapping, quantity, and bin-related rules.</w:t>
      </w:r>
    </w:p>
    <w:p>
      <w:pPr>
        <w:pStyle w:val="ListBullet"/>
      </w:pPr>
      <w:r>
        <w:t>If validation fails, ADF sends a business-facing email with correction items and fails the run.</w:t>
      </w:r>
    </w:p>
    <w:p>
      <w:pPr>
        <w:pStyle w:val="ListBullet"/>
      </w:pPr>
      <w:r>
        <w:t>If validation passes, ADF creates the P21Import receipt chain and sends a success email with generated identifiers.</w:t>
      </w:r>
    </w:p>
    <w:p>
      <w:pPr>
        <w:pStyle w:val="Heading1"/>
        <w:keepNext/>
      </w:pPr>
      <w:r>
        <w:t>Operational Roles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040"/>
        <w:gridCol w:w="5040"/>
      </w:tblGrid>
      <w:tr>
        <w:trPr>
          <w:tblHeader w:val="true"/>
        </w:trPr>
        <w:tc>
          <w:tcPr>
            <w:tcW w:type="dxa" w:w="2448"/>
            <w:shd w:fill="1F4E79"/>
            <w:tcMar>
              <w:top w:w="80" w:type="dxa"/>
              <w:start w:w="100" w:type="dxa"/>
              <w:bottom w:w="80" w:type="dxa"/>
              <w:end w:w="100" w:type="dxa"/>
            </w:tcMar>
            <w:vAlign w:val="center"/>
          </w:tcPr>
          <w:p>
            <w:pPr>
              <w:jc w:val="center"/>
            </w:pPr>
            <w:r>
              <w:rPr>
                <w:b/>
                <w:i w:val="0"/>
                <w:color w:val="FFFFFF"/>
                <w:sz w:val="17"/>
              </w:rPr>
              <w:t>Role</w:t>
            </w:r>
          </w:p>
        </w:tc>
        <w:tc>
          <w:tcPr>
            <w:tcW w:type="dxa" w:w="7056"/>
            <w:shd w:fill="1F4E79"/>
            <w:tcMar>
              <w:top w:w="80" w:type="dxa"/>
              <w:start w:w="100" w:type="dxa"/>
              <w:bottom w:w="80" w:type="dxa"/>
              <w:end w:w="100" w:type="dxa"/>
            </w:tcMar>
            <w:vAlign w:val="center"/>
          </w:tcPr>
          <w:p>
            <w:pPr>
              <w:jc w:val="center"/>
            </w:pPr>
            <w:r>
              <w:rPr>
                <w:b/>
                <w:i w:val="0"/>
                <w:color w:val="FFFFFF"/>
                <w:sz w:val="17"/>
              </w:rPr>
              <w:t>Responsibilities</w:t>
            </w:r>
          </w:p>
        </w:tc>
      </w:tr>
      <w:tr>
        <w:tc>
          <w:tcPr>
            <w:tcW w:type="dxa" w:w="2448"/>
            <w:tcMar>
              <w:top w:w="80" w:type="dxa"/>
              <w:start w:w="100" w:type="dxa"/>
              <w:bottom w:w="80" w:type="dxa"/>
              <w:end w:w="100" w:type="dxa"/>
            </w:tcMar>
            <w:vAlign w:val="center"/>
          </w:tcPr>
          <w:p>
            <w:pPr>
              <w:spacing w:after="0"/>
            </w:pPr>
            <w:r>
              <w:rPr>
                <w:sz w:val="17"/>
              </w:rPr>
              <w:t>Business manager</w:t>
            </w:r>
          </w:p>
        </w:tc>
        <w:tc>
          <w:tcPr>
            <w:tcW w:type="dxa" w:w="7056"/>
            <w:tcMar>
              <w:top w:w="80" w:type="dxa"/>
              <w:start w:w="100" w:type="dxa"/>
              <w:bottom w:w="80" w:type="dxa"/>
              <w:end w:w="100" w:type="dxa"/>
            </w:tcMar>
            <w:vAlign w:val="center"/>
          </w:tcPr>
          <w:p>
            <w:pPr>
              <w:spacing w:after="0"/>
            </w:pPr>
            <w:r>
              <w:rPr>
                <w:sz w:val="17"/>
              </w:rPr>
              <w:t>Confirm uploaded files follow the required naming pattern; review success/failure emails; coordinate vendor or purchasing corrections.</w:t>
            </w:r>
          </w:p>
        </w:tc>
      </w:tr>
      <w:tr>
        <w:tc>
          <w:tcPr>
            <w:tcW w:type="dxa" w:w="2448"/>
            <w:tcMar>
              <w:top w:w="80" w:type="dxa"/>
              <w:start w:w="100" w:type="dxa"/>
              <w:bottom w:w="80" w:type="dxa"/>
              <w:end w:w="100" w:type="dxa"/>
            </w:tcMar>
            <w:vAlign w:val="center"/>
          </w:tcPr>
          <w:p>
            <w:pPr>
              <w:spacing w:after="0"/>
            </w:pPr>
            <w:r>
              <w:rPr>
                <w:sz w:val="17"/>
              </w:rPr>
              <w:t>Third-party IT team</w:t>
            </w:r>
          </w:p>
        </w:tc>
        <w:tc>
          <w:tcPr>
            <w:tcW w:type="dxa" w:w="7056"/>
            <w:tcMar>
              <w:top w:w="80" w:type="dxa"/>
              <w:start w:w="100" w:type="dxa"/>
              <w:bottom w:w="80" w:type="dxa"/>
              <w:end w:w="100" w:type="dxa"/>
            </w:tcMar>
            <w:vAlign w:val="center"/>
          </w:tcPr>
          <w:p>
            <w:pPr>
              <w:spacing w:after="0"/>
            </w:pPr>
            <w:r>
              <w:rPr>
                <w:sz w:val="17"/>
              </w:rPr>
              <w:t>Maintain Azure Function, ADF pipeline, Graph subscription, Function app settings, SQL scripts, and deployment process.</w:t>
            </w:r>
          </w:p>
        </w:tc>
      </w:tr>
      <w:tr>
        <w:tc>
          <w:tcPr>
            <w:tcW w:type="dxa" w:w="2448"/>
            <w:tcMar>
              <w:top w:w="80" w:type="dxa"/>
              <w:start w:w="100" w:type="dxa"/>
              <w:bottom w:w="80" w:type="dxa"/>
              <w:end w:w="100" w:type="dxa"/>
            </w:tcMar>
            <w:vAlign w:val="center"/>
          </w:tcPr>
          <w:p>
            <w:pPr>
              <w:spacing w:after="0"/>
            </w:pPr>
            <w:r>
              <w:rPr>
                <w:sz w:val="17"/>
              </w:rPr>
              <w:t>P21/SQL administrator</w:t>
            </w:r>
          </w:p>
        </w:tc>
        <w:tc>
          <w:tcPr>
            <w:tcW w:type="dxa" w:w="7056"/>
            <w:tcMar>
              <w:top w:w="80" w:type="dxa"/>
              <w:start w:w="100" w:type="dxa"/>
              <w:bottom w:w="80" w:type="dxa"/>
              <w:end w:w="100" w:type="dxa"/>
            </w:tcMar>
            <w:vAlign w:val="center"/>
          </w:tcPr>
          <w:p>
            <w:pPr>
              <w:spacing w:after="0"/>
            </w:pPr>
            <w:r>
              <w:rPr>
                <w:sz w:val="17"/>
              </w:rPr>
              <w:t>Maintain P21Import access, SQL linked service, supplier/PO/bin reference data, and permission changes.</w:t>
            </w:r>
          </w:p>
        </w:tc>
      </w:tr>
      <w:tr>
        <w:tc>
          <w:tcPr>
            <w:tcW w:type="dxa" w:w="2448"/>
            <w:tcMar>
              <w:top w:w="80" w:type="dxa"/>
              <w:start w:w="100" w:type="dxa"/>
              <w:bottom w:w="80" w:type="dxa"/>
              <w:end w:w="100" w:type="dxa"/>
            </w:tcMar>
            <w:vAlign w:val="center"/>
          </w:tcPr>
          <w:p>
            <w:pPr>
              <w:spacing w:after="0"/>
            </w:pPr>
            <w:r>
              <w:rPr>
                <w:sz w:val="17"/>
              </w:rPr>
              <w:t>Microsoft 365 administrator</w:t>
            </w:r>
          </w:p>
        </w:tc>
        <w:tc>
          <w:tcPr>
            <w:tcW w:type="dxa" w:w="7056"/>
            <w:tcMar>
              <w:top w:w="80" w:type="dxa"/>
              <w:start w:w="100" w:type="dxa"/>
              <w:bottom w:w="80" w:type="dxa"/>
              <w:end w:w="100" w:type="dxa"/>
            </w:tcMar>
            <w:vAlign w:val="center"/>
          </w:tcPr>
          <w:p>
            <w:pPr>
              <w:spacing w:after="0"/>
            </w:pPr>
            <w:r>
              <w:rPr>
                <w:sz w:val="17"/>
              </w:rPr>
              <w:t>Maintain Entra app permissions, SharePoint access, Graph subscription permissions, and Mail.Send consent.</w:t>
            </w:r>
          </w:p>
        </w:tc>
      </w:tr>
      <w:tr>
        <w:tc>
          <w:tcPr>
            <w:tcW w:type="dxa" w:w="2448"/>
            <w:tcMar>
              <w:top w:w="80" w:type="dxa"/>
              <w:start w:w="100" w:type="dxa"/>
              <w:bottom w:w="80" w:type="dxa"/>
              <w:end w:w="100" w:type="dxa"/>
            </w:tcMar>
            <w:vAlign w:val="center"/>
          </w:tcPr>
          <w:p>
            <w:pPr>
              <w:spacing w:after="0"/>
            </w:pPr>
            <w:r>
              <w:rPr>
                <w:sz w:val="17"/>
              </w:rPr>
              <w:t>Azure administrator</w:t>
            </w:r>
          </w:p>
        </w:tc>
        <w:tc>
          <w:tcPr>
            <w:tcW w:type="dxa" w:w="7056"/>
            <w:tcMar>
              <w:top w:w="80" w:type="dxa"/>
              <w:start w:w="100" w:type="dxa"/>
              <w:bottom w:w="80" w:type="dxa"/>
              <w:end w:w="100" w:type="dxa"/>
            </w:tcMar>
            <w:vAlign w:val="center"/>
          </w:tcPr>
          <w:p>
            <w:pPr>
              <w:spacing w:after="0"/>
            </w:pPr>
            <w:r>
              <w:rPr>
                <w:sz w:val="17"/>
              </w:rPr>
              <w:t>Maintain subscription/RG access, Function identity RBAC, storage account, Data Factory, app settings, and cost/security monitoring.</w:t>
            </w:r>
          </w:p>
        </w:tc>
      </w:tr>
    </w:tbl>
    <w:p/>
    <w:p>
      <w:pPr>
        <w:pStyle w:val="Heading1"/>
        <w:keepNext/>
      </w:pPr>
      <w:r>
        <w:t>Source and File Rules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040"/>
        <w:gridCol w:w="5040"/>
      </w:tblGrid>
      <w:tr>
        <w:trPr>
          <w:tblHeader w:val="true"/>
        </w:trPr>
        <w:tc>
          <w:tcPr>
            <w:tcW w:type="dxa" w:w="2880"/>
            <w:shd w:fill="1F4E79"/>
            <w:tcMar>
              <w:top w:w="80" w:type="dxa"/>
              <w:start w:w="100" w:type="dxa"/>
              <w:bottom w:w="80" w:type="dxa"/>
              <w:end w:w="100" w:type="dxa"/>
            </w:tcMar>
          </w:tcPr>
          <w:p>
            <w:r>
              <w:rPr>
                <w:b/>
                <w:i w:val="0"/>
                <w:color w:val="FFFFFF"/>
              </w:rPr>
              <w:t>Item</w:t>
            </w:r>
          </w:p>
        </w:tc>
        <w:tc>
          <w:tcPr>
            <w:tcW w:type="dxa" w:w="6336"/>
            <w:shd w:fill="1F4E79"/>
            <w:tcMar>
              <w:top w:w="80" w:type="dxa"/>
              <w:start w:w="100" w:type="dxa"/>
              <w:bottom w:w="80" w:type="dxa"/>
              <w:end w:w="100" w:type="dxa"/>
            </w:tcMar>
          </w:tcPr>
          <w:p>
            <w:r>
              <w:rPr>
                <w:b/>
                <w:i w:val="0"/>
                <w:color w:val="FFFFFF"/>
              </w:rPr>
              <w:t>Value</w:t>
            </w:r>
          </w:p>
        </w:tc>
      </w:tr>
      <w:tr>
        <w:tc>
          <w:tcPr>
            <w:tcW w:type="dxa" w:w="2880"/>
            <w:shd w:fill="F2F2F2"/>
            <w:vAlign w:val="center"/>
            <w:tcMar>
              <w:top w:w="80" w:type="dxa"/>
              <w:start w:w="100" w:type="dxa"/>
              <w:bottom w:w="80" w:type="dxa"/>
              <w:end w:w="100" w:type="dxa"/>
            </w:tcMar>
          </w:tcPr>
          <w:p>
            <w:pPr>
              <w:spacing w:after="0"/>
            </w:pPr>
            <w:r>
              <w:rPr>
                <w:b/>
                <w:sz w:val="18"/>
              </w:rPr>
              <w:t>SharePoint site</w:t>
            </w:r>
          </w:p>
        </w:tc>
        <w:tc>
          <w:tcPr>
            <w:tcW w:type="dxa" w:w="6336"/>
            <w:vAlign w:val="center"/>
            <w:tcMar>
              <w:top w:w="80" w:type="dxa"/>
              <w:start w:w="100" w:type="dxa"/>
              <w:bottom w:w="80" w:type="dxa"/>
              <w:end w:w="100" w:type="dxa"/>
            </w:tcMar>
          </w:tcPr>
          <w:p>
            <w:pPr>
              <w:spacing w:after="0"/>
            </w:pPr>
            <w:r>
              <w:rPr>
                <w:sz w:val="18"/>
              </w:rPr>
              <w:t>https://komaralliance.sharepoint.com/sites/KomarPublic</w:t>
            </w:r>
          </w:p>
        </w:tc>
      </w:tr>
      <w:tr>
        <w:tc>
          <w:tcPr>
            <w:tcW w:type="dxa" w:w="2880"/>
            <w:shd w:fill="F2F2F2"/>
            <w:vAlign w:val="center"/>
            <w:tcMar>
              <w:top w:w="80" w:type="dxa"/>
              <w:start w:w="100" w:type="dxa"/>
              <w:bottom w:w="80" w:type="dxa"/>
              <w:end w:w="100" w:type="dxa"/>
            </w:tcMar>
          </w:tcPr>
          <w:p>
            <w:pPr>
              <w:spacing w:after="0"/>
            </w:pPr>
            <w:r>
              <w:rPr>
                <w:b/>
                <w:sz w:val="18"/>
              </w:rPr>
              <w:t>Library</w:t>
            </w:r>
          </w:p>
        </w:tc>
        <w:tc>
          <w:tcPr>
            <w:tcW w:type="dxa" w:w="6336"/>
            <w:vAlign w:val="center"/>
            <w:tcMar>
              <w:top w:w="80" w:type="dxa"/>
              <w:start w:w="100" w:type="dxa"/>
              <w:bottom w:w="80" w:type="dxa"/>
              <w:end w:w="100" w:type="dxa"/>
            </w:tcMar>
          </w:tcPr>
          <w:p>
            <w:pPr>
              <w:spacing w:after="0"/>
            </w:pPr>
            <w:r>
              <w:rPr>
                <w:sz w:val="18"/>
              </w:rPr>
              <w:t>Documents (SharePoint may display this as Shared Documents)</w:t>
            </w:r>
          </w:p>
        </w:tc>
      </w:tr>
      <w:tr>
        <w:tc>
          <w:tcPr>
            <w:tcW w:type="dxa" w:w="2880"/>
            <w:shd w:fill="F2F2F2"/>
            <w:vAlign w:val="center"/>
            <w:tcMar>
              <w:top w:w="80" w:type="dxa"/>
              <w:start w:w="100" w:type="dxa"/>
              <w:bottom w:w="80" w:type="dxa"/>
              <w:end w:w="100" w:type="dxa"/>
            </w:tcMar>
          </w:tcPr>
          <w:p>
            <w:pPr>
              <w:spacing w:after="0"/>
            </w:pPr>
            <w:r>
              <w:rPr>
                <w:b/>
                <w:sz w:val="18"/>
              </w:rPr>
              <w:t>Watched folder</w:t>
            </w:r>
          </w:p>
        </w:tc>
        <w:tc>
          <w:tcPr>
            <w:tcW w:type="dxa" w:w="6336"/>
            <w:vAlign w:val="center"/>
            <w:tcMar>
              <w:top w:w="80" w:type="dxa"/>
              <w:start w:w="100" w:type="dxa"/>
              <w:bottom w:w="80" w:type="dxa"/>
              <w:end w:w="100" w:type="dxa"/>
            </w:tcMar>
          </w:tcPr>
          <w:p>
            <w:pPr>
              <w:spacing w:after="0"/>
            </w:pPr>
            <w:r>
              <w:rPr>
                <w:sz w:val="18"/>
              </w:rPr>
              <w:t>Documents/Coats Mexico Shipment Reports</w:t>
            </w:r>
          </w:p>
        </w:tc>
      </w:tr>
      <w:tr>
        <w:tc>
          <w:tcPr>
            <w:tcW w:type="dxa" w:w="2880"/>
            <w:shd w:fill="F2F2F2"/>
            <w:vAlign w:val="center"/>
            <w:tcMar>
              <w:top w:w="80" w:type="dxa"/>
              <w:start w:w="100" w:type="dxa"/>
              <w:bottom w:w="80" w:type="dxa"/>
              <w:end w:w="100" w:type="dxa"/>
            </w:tcMar>
          </w:tcPr>
          <w:p>
            <w:pPr>
              <w:spacing w:after="0"/>
            </w:pPr>
            <w:r>
              <w:rPr>
                <w:b/>
                <w:sz w:val="18"/>
              </w:rPr>
              <w:t>Accepted files</w:t>
            </w:r>
          </w:p>
        </w:tc>
        <w:tc>
          <w:tcPr>
            <w:tcW w:type="dxa" w:w="6336"/>
            <w:vAlign w:val="center"/>
            <w:tcMar>
              <w:top w:w="80" w:type="dxa"/>
              <w:start w:w="100" w:type="dxa"/>
              <w:bottom w:w="80" w:type="dxa"/>
              <w:end w:w="100" w:type="dxa"/>
            </w:tcMar>
          </w:tcPr>
          <w:p>
            <w:pPr>
              <w:spacing w:after="0"/>
            </w:pPr>
            <w:r>
              <w:rPr>
                <w:sz w:val="18"/>
              </w:rPr>
              <w:t>.xlsx files only</w:t>
            </w:r>
          </w:p>
        </w:tc>
      </w:tr>
      <w:tr>
        <w:tc>
          <w:tcPr>
            <w:tcW w:type="dxa" w:w="2880"/>
            <w:shd w:fill="F2F2F2"/>
            <w:vAlign w:val="center"/>
            <w:tcMar>
              <w:top w:w="80" w:type="dxa"/>
              <w:start w:w="100" w:type="dxa"/>
              <w:bottom w:w="80" w:type="dxa"/>
              <w:end w:w="100" w:type="dxa"/>
            </w:tcMar>
          </w:tcPr>
          <w:p>
            <w:pPr>
              <w:spacing w:after="0"/>
            </w:pPr>
            <w:r>
              <w:rPr>
                <w:b/>
                <w:sz w:val="18"/>
              </w:rPr>
              <w:t>Ignored files</w:t>
            </w:r>
          </w:p>
        </w:tc>
        <w:tc>
          <w:tcPr>
            <w:tcW w:type="dxa" w:w="6336"/>
            <w:vAlign w:val="center"/>
            <w:tcMar>
              <w:top w:w="80" w:type="dxa"/>
              <w:start w:w="100" w:type="dxa"/>
              <w:bottom w:w="80" w:type="dxa"/>
              <w:end w:w="100" w:type="dxa"/>
            </w:tcMar>
          </w:tcPr>
          <w:p>
            <w:pPr>
              <w:spacing w:after="0"/>
            </w:pPr>
            <w:r>
              <w:rPr>
                <w:sz w:val="18"/>
              </w:rPr>
              <w:t>Excel lock/temp files such as ~$Detalle Expo Komar 04.17.26.xlsx</w:t>
            </w:r>
          </w:p>
        </w:tc>
      </w:tr>
      <w:tr>
        <w:tc>
          <w:tcPr>
            <w:tcW w:type="dxa" w:w="2880"/>
            <w:shd w:fill="F2F2F2"/>
            <w:vAlign w:val="center"/>
            <w:tcMar>
              <w:top w:w="80" w:type="dxa"/>
              <w:start w:w="100" w:type="dxa"/>
              <w:bottom w:w="80" w:type="dxa"/>
              <w:end w:w="100" w:type="dxa"/>
            </w:tcMar>
          </w:tcPr>
          <w:p>
            <w:pPr>
              <w:spacing w:after="0"/>
            </w:pPr>
            <w:r>
              <w:rPr>
                <w:b/>
                <w:sz w:val="18"/>
              </w:rPr>
              <w:t>Required filename pattern</w:t>
            </w:r>
          </w:p>
        </w:tc>
        <w:tc>
          <w:tcPr>
            <w:tcW w:type="dxa" w:w="6336"/>
            <w:vAlign w:val="center"/>
            <w:tcMar>
              <w:top w:w="80" w:type="dxa"/>
              <w:start w:w="100" w:type="dxa"/>
              <w:bottom w:w="80" w:type="dxa"/>
              <w:end w:w="100" w:type="dxa"/>
            </w:tcMar>
          </w:tcPr>
          <w:p>
            <w:pPr>
              <w:spacing w:after="0"/>
            </w:pPr>
            <w:r>
              <w:rPr>
                <w:sz w:val="18"/>
              </w:rPr>
              <w:t>Coats Mexico Shipment Report MM.DD.YY - Trailer TM###.xlsx</w:t>
            </w:r>
          </w:p>
        </w:tc>
      </w:tr>
      <w:tr>
        <w:tc>
          <w:tcPr>
            <w:tcW w:type="dxa" w:w="2880"/>
            <w:shd w:fill="F2F2F2"/>
            <w:vAlign w:val="center"/>
            <w:tcMar>
              <w:top w:w="80" w:type="dxa"/>
              <w:start w:w="100" w:type="dxa"/>
              <w:bottom w:w="80" w:type="dxa"/>
              <w:end w:w="100" w:type="dxa"/>
            </w:tcMar>
          </w:tcPr>
          <w:p>
            <w:pPr>
              <w:spacing w:after="0"/>
            </w:pPr>
            <w:r>
              <w:rPr>
                <w:b/>
                <w:sz w:val="18"/>
              </w:rPr>
              <w:t>Example filename</w:t>
            </w:r>
          </w:p>
        </w:tc>
        <w:tc>
          <w:tcPr>
            <w:tcW w:type="dxa" w:w="6336"/>
            <w:vAlign w:val="center"/>
            <w:tcMar>
              <w:top w:w="80" w:type="dxa"/>
              <w:start w:w="100" w:type="dxa"/>
              <w:bottom w:w="80" w:type="dxa"/>
              <w:end w:w="100" w:type="dxa"/>
            </w:tcMar>
          </w:tcPr>
          <w:p>
            <w:pPr>
              <w:spacing w:after="0"/>
            </w:pPr>
            <w:r>
              <w:rPr>
                <w:sz w:val="18"/>
              </w:rPr>
              <w:t>Coats Mexico Shipment Report 04.17.26 - Trailer TM672.xlsx</w:t>
            </w:r>
          </w:p>
        </w:tc>
      </w:tr>
      <w:tr>
        <w:tc>
          <w:tcPr>
            <w:tcW w:type="dxa" w:w="2880"/>
            <w:shd w:fill="F2F2F2"/>
            <w:vAlign w:val="center"/>
            <w:tcMar>
              <w:top w:w="80" w:type="dxa"/>
              <w:start w:w="100" w:type="dxa"/>
              <w:bottom w:w="80" w:type="dxa"/>
              <w:end w:w="100" w:type="dxa"/>
            </w:tcMar>
          </w:tcPr>
          <w:p>
            <w:pPr>
              <w:spacing w:after="0"/>
            </w:pPr>
            <w:r>
              <w:rPr>
                <w:b/>
                <w:sz w:val="18"/>
              </w:rPr>
              <w:t>Parsed metadata</w:t>
            </w:r>
          </w:p>
        </w:tc>
        <w:tc>
          <w:tcPr>
            <w:tcW w:type="dxa" w:w="6336"/>
            <w:vAlign w:val="center"/>
            <w:tcMar>
              <w:top w:w="80" w:type="dxa"/>
              <w:start w:w="100" w:type="dxa"/>
              <w:bottom w:w="80" w:type="dxa"/>
              <w:end w:w="100" w:type="dxa"/>
            </w:tcMar>
          </w:tcPr>
          <w:p>
            <w:pPr>
              <w:spacing w:after="0"/>
            </w:pPr>
            <w:r>
              <w:rPr>
                <w:sz w:val="18"/>
              </w:rPr>
              <w:t>shipment_date = 2026-04-17; trailer_name = TM672</w:t>
            </w:r>
          </w:p>
        </w:tc>
      </w:tr>
      <w:tr>
        <w:tc>
          <w:tcPr>
            <w:tcW w:type="dxa" w:w="2880"/>
            <w:shd w:fill="F2F2F2"/>
            <w:vAlign w:val="center"/>
            <w:tcMar>
              <w:top w:w="80" w:type="dxa"/>
              <w:start w:w="100" w:type="dxa"/>
              <w:bottom w:w="80" w:type="dxa"/>
              <w:end w:w="100" w:type="dxa"/>
            </w:tcMar>
          </w:tcPr>
          <w:p>
            <w:pPr>
              <w:spacing w:after="0"/>
            </w:pPr>
            <w:r>
              <w:rPr>
                <w:b/>
                <w:sz w:val="18"/>
              </w:rPr>
              <w:t>Estimated arrival</w:t>
            </w:r>
          </w:p>
        </w:tc>
        <w:tc>
          <w:tcPr>
            <w:tcW w:type="dxa" w:w="6336"/>
            <w:vAlign w:val="center"/>
            <w:tcMar>
              <w:top w:w="80" w:type="dxa"/>
              <w:start w:w="100" w:type="dxa"/>
              <w:bottom w:w="80" w:type="dxa"/>
              <w:end w:w="100" w:type="dxa"/>
            </w:tcMar>
          </w:tcPr>
          <w:p>
            <w:pPr>
              <w:spacing w:after="0"/>
            </w:pPr>
            <w:r>
              <w:rPr>
                <w:sz w:val="18"/>
              </w:rPr>
              <w:t>Closest next Friday after the shipment date.</w:t>
            </w:r>
          </w:p>
        </w:tc>
      </w:tr>
    </w:tbl>
    <w:p/>
    <w:p>
      <w:pPr>
        <w:pStyle w:val="Heading1"/>
        <w:keepNext/>
      </w:pPr>
      <w:r>
        <w:t>Azure Resource Inventory</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040"/>
        <w:gridCol w:w="5040"/>
      </w:tblGrid>
      <w:tr>
        <w:trPr>
          <w:tblHeader w:val="true"/>
        </w:trPr>
        <w:tc>
          <w:tcPr>
            <w:tcW w:type="dxa" w:w="2520"/>
            <w:shd w:fill="1F4E79"/>
            <w:tcMar>
              <w:top w:w="80" w:type="dxa"/>
              <w:start w:w="100" w:type="dxa"/>
              <w:bottom w:w="80" w:type="dxa"/>
              <w:end w:w="100" w:type="dxa"/>
            </w:tcMar>
            <w:vAlign w:val="center"/>
          </w:tcPr>
          <w:p>
            <w:pPr>
              <w:jc w:val="center"/>
            </w:pPr>
            <w:r>
              <w:rPr>
                <w:b/>
                <w:i w:val="0"/>
                <w:color w:val="FFFFFF"/>
                <w:sz w:val="17"/>
              </w:rPr>
              <w:t>Resource</w:t>
            </w:r>
          </w:p>
        </w:tc>
        <w:tc>
          <w:tcPr>
            <w:tcW w:type="dxa" w:w="6984"/>
            <w:shd w:fill="1F4E79"/>
            <w:tcMar>
              <w:top w:w="80" w:type="dxa"/>
              <w:start w:w="100" w:type="dxa"/>
              <w:bottom w:w="80" w:type="dxa"/>
              <w:end w:w="100" w:type="dxa"/>
            </w:tcMar>
            <w:vAlign w:val="center"/>
          </w:tcPr>
          <w:p>
            <w:pPr>
              <w:jc w:val="center"/>
            </w:pPr>
            <w:r>
              <w:rPr>
                <w:b/>
                <w:i w:val="0"/>
                <w:color w:val="FFFFFF"/>
                <w:sz w:val="17"/>
              </w:rPr>
              <w:t>Current value / notes</w:t>
            </w:r>
          </w:p>
        </w:tc>
      </w:tr>
      <w:tr>
        <w:tc>
          <w:tcPr>
            <w:tcW w:type="dxa" w:w="2520"/>
            <w:tcMar>
              <w:top w:w="80" w:type="dxa"/>
              <w:start w:w="100" w:type="dxa"/>
              <w:bottom w:w="80" w:type="dxa"/>
              <w:end w:w="100" w:type="dxa"/>
            </w:tcMar>
            <w:vAlign w:val="center"/>
          </w:tcPr>
          <w:p>
            <w:pPr>
              <w:spacing w:after="0"/>
            </w:pPr>
            <w:r>
              <w:rPr>
                <w:sz w:val="17"/>
              </w:rPr>
              <w:t>Tenant</w:t>
            </w:r>
          </w:p>
        </w:tc>
        <w:tc>
          <w:tcPr>
            <w:tcW w:type="dxa" w:w="6984"/>
            <w:tcMar>
              <w:top w:w="80" w:type="dxa"/>
              <w:start w:w="100" w:type="dxa"/>
              <w:bottom w:w="80" w:type="dxa"/>
              <w:end w:w="100" w:type="dxa"/>
            </w:tcMar>
            <w:vAlign w:val="center"/>
          </w:tcPr>
          <w:p>
            <w:pPr>
              <w:spacing w:after="0"/>
            </w:pPr>
            <w:r>
              <w:rPr>
                <w:sz w:val="17"/>
              </w:rPr>
              <w:t>Komar Alliance; tenant ID eff39737-e722-4258-93dd-f457dbb008d5</w:t>
            </w:r>
          </w:p>
        </w:tc>
      </w:tr>
      <w:tr>
        <w:tc>
          <w:tcPr>
            <w:tcW w:type="dxa" w:w="2520"/>
            <w:tcMar>
              <w:top w:w="80" w:type="dxa"/>
              <w:start w:w="100" w:type="dxa"/>
              <w:bottom w:w="80" w:type="dxa"/>
              <w:end w:w="100" w:type="dxa"/>
            </w:tcMar>
            <w:vAlign w:val="center"/>
          </w:tcPr>
          <w:p>
            <w:pPr>
              <w:spacing w:after="0"/>
            </w:pPr>
            <w:r>
              <w:rPr>
                <w:sz w:val="17"/>
              </w:rPr>
              <w:t>Subscription</w:t>
            </w:r>
          </w:p>
        </w:tc>
        <w:tc>
          <w:tcPr>
            <w:tcW w:type="dxa" w:w="6984"/>
            <w:tcMar>
              <w:top w:w="80" w:type="dxa"/>
              <w:start w:w="100" w:type="dxa"/>
              <w:bottom w:w="80" w:type="dxa"/>
              <w:end w:w="100" w:type="dxa"/>
            </w:tcMar>
            <w:vAlign w:val="center"/>
          </w:tcPr>
          <w:p>
            <w:pPr>
              <w:spacing w:after="0"/>
            </w:pPr>
            <w:r>
              <w:rPr>
                <w:sz w:val="17"/>
              </w:rPr>
              <w:t>Azure subscription 1; subscription ID 6624ec13-3826-43b2-8e45-077f9051b88f</w:t>
            </w:r>
          </w:p>
        </w:tc>
      </w:tr>
      <w:tr>
        <w:tc>
          <w:tcPr>
            <w:tcW w:type="dxa" w:w="2520"/>
            <w:tcMar>
              <w:top w:w="80" w:type="dxa"/>
              <w:start w:w="100" w:type="dxa"/>
              <w:bottom w:w="80" w:type="dxa"/>
              <w:end w:w="100" w:type="dxa"/>
            </w:tcMar>
            <w:vAlign w:val="center"/>
          </w:tcPr>
          <w:p>
            <w:pPr>
              <w:spacing w:after="0"/>
            </w:pPr>
            <w:r>
              <w:rPr>
                <w:sz w:val="17"/>
              </w:rPr>
              <w:t>Resource group</w:t>
            </w:r>
          </w:p>
        </w:tc>
        <w:tc>
          <w:tcPr>
            <w:tcW w:type="dxa" w:w="6984"/>
            <w:tcMar>
              <w:top w:w="80" w:type="dxa"/>
              <w:start w:w="100" w:type="dxa"/>
              <w:bottom w:w="80" w:type="dxa"/>
              <w:end w:w="100" w:type="dxa"/>
            </w:tcMar>
            <w:vAlign w:val="center"/>
          </w:tcPr>
          <w:p>
            <w:pPr>
              <w:spacing w:after="0"/>
            </w:pPr>
            <w:r>
              <w:rPr>
                <w:sz w:val="17"/>
              </w:rPr>
              <w:t>RG1</w:t>
            </w:r>
          </w:p>
        </w:tc>
      </w:tr>
      <w:tr>
        <w:tc>
          <w:tcPr>
            <w:tcW w:type="dxa" w:w="2520"/>
            <w:tcMar>
              <w:top w:w="80" w:type="dxa"/>
              <w:start w:w="100" w:type="dxa"/>
              <w:bottom w:w="80" w:type="dxa"/>
              <w:end w:w="100" w:type="dxa"/>
            </w:tcMar>
            <w:vAlign w:val="center"/>
          </w:tcPr>
          <w:p>
            <w:pPr>
              <w:spacing w:after="0"/>
            </w:pPr>
            <w:r>
              <w:rPr>
                <w:sz w:val="17"/>
              </w:rPr>
              <w:t>Data Factory</w:t>
            </w:r>
          </w:p>
        </w:tc>
        <w:tc>
          <w:tcPr>
            <w:tcW w:type="dxa" w:w="6984"/>
            <w:tcMar>
              <w:top w:w="80" w:type="dxa"/>
              <w:start w:w="100" w:type="dxa"/>
              <w:bottom w:w="80" w:type="dxa"/>
              <w:end w:w="100" w:type="dxa"/>
            </w:tcMar>
            <w:vAlign w:val="center"/>
          </w:tcPr>
          <w:p>
            <w:pPr>
              <w:spacing w:after="0"/>
            </w:pPr>
            <w:r>
              <w:rPr>
                <w:sz w:val="17"/>
              </w:rPr>
              <w:t>2026-04-01-DF1</w:t>
            </w:r>
          </w:p>
        </w:tc>
      </w:tr>
      <w:tr>
        <w:tc>
          <w:tcPr>
            <w:tcW w:type="dxa" w:w="2520"/>
            <w:tcMar>
              <w:top w:w="80" w:type="dxa"/>
              <w:start w:w="100" w:type="dxa"/>
              <w:bottom w:w="80" w:type="dxa"/>
              <w:end w:w="100" w:type="dxa"/>
            </w:tcMar>
            <w:vAlign w:val="center"/>
          </w:tcPr>
          <w:p>
            <w:pPr>
              <w:spacing w:after="0"/>
            </w:pPr>
            <w:r>
              <w:rPr>
                <w:sz w:val="17"/>
              </w:rPr>
              <w:t>ADF pipeline</w:t>
            </w:r>
          </w:p>
        </w:tc>
        <w:tc>
          <w:tcPr>
            <w:tcW w:type="dxa" w:w="6984"/>
            <w:tcMar>
              <w:top w:w="80" w:type="dxa"/>
              <w:start w:w="100" w:type="dxa"/>
              <w:bottom w:w="80" w:type="dxa"/>
              <w:end w:w="100" w:type="dxa"/>
            </w:tcMar>
            <w:vAlign w:val="center"/>
          </w:tcPr>
          <w:p>
            <w:pPr>
              <w:spacing w:after="0"/>
            </w:pPr>
            <w:r>
              <w:rPr>
                <w:sz w:val="17"/>
              </w:rPr>
              <w:t>Coats_Mexico_Shipment_Stage_And_Validate</w:t>
            </w:r>
          </w:p>
        </w:tc>
      </w:tr>
      <w:tr>
        <w:tc>
          <w:tcPr>
            <w:tcW w:type="dxa" w:w="2520"/>
            <w:tcMar>
              <w:top w:w="80" w:type="dxa"/>
              <w:start w:w="100" w:type="dxa"/>
              <w:bottom w:w="80" w:type="dxa"/>
              <w:end w:w="100" w:type="dxa"/>
            </w:tcMar>
            <w:vAlign w:val="center"/>
          </w:tcPr>
          <w:p>
            <w:pPr>
              <w:spacing w:after="0"/>
            </w:pPr>
            <w:r>
              <w:rPr>
                <w:sz w:val="17"/>
              </w:rPr>
              <w:t>Function App</w:t>
            </w:r>
          </w:p>
        </w:tc>
        <w:tc>
          <w:tcPr>
            <w:tcW w:type="dxa" w:w="6984"/>
            <w:tcMar>
              <w:top w:w="80" w:type="dxa"/>
              <w:start w:w="100" w:type="dxa"/>
              <w:bottom w:w="80" w:type="dxa"/>
              <w:end w:w="100" w:type="dxa"/>
            </w:tcMar>
            <w:vAlign w:val="center"/>
          </w:tcPr>
          <w:p>
            <w:pPr>
              <w:spacing w:after="0"/>
            </w:pPr>
            <w:r>
              <w:rPr>
                <w:sz w:val="17"/>
              </w:rPr>
              <w:t>func-coats-mexico-20260401dshao</w:t>
            </w:r>
          </w:p>
        </w:tc>
      </w:tr>
      <w:tr>
        <w:tc>
          <w:tcPr>
            <w:tcW w:type="dxa" w:w="2520"/>
            <w:tcMar>
              <w:top w:w="80" w:type="dxa"/>
              <w:start w:w="100" w:type="dxa"/>
              <w:bottom w:w="80" w:type="dxa"/>
              <w:end w:w="100" w:type="dxa"/>
            </w:tcMar>
            <w:vAlign w:val="center"/>
          </w:tcPr>
          <w:p>
            <w:pPr>
              <w:spacing w:after="0"/>
            </w:pPr>
            <w:r>
              <w:rPr>
                <w:sz w:val="17"/>
              </w:rPr>
              <w:t>Storage account</w:t>
            </w:r>
          </w:p>
        </w:tc>
        <w:tc>
          <w:tcPr>
            <w:tcW w:type="dxa" w:w="6984"/>
            <w:tcMar>
              <w:top w:w="80" w:type="dxa"/>
              <w:start w:w="100" w:type="dxa"/>
              <w:bottom w:w="80" w:type="dxa"/>
              <w:end w:w="100" w:type="dxa"/>
            </w:tcMar>
            <w:vAlign w:val="center"/>
          </w:tcPr>
          <w:p>
            <w:pPr>
              <w:spacing w:after="0"/>
            </w:pPr>
            <w:r>
              <w:rPr>
                <w:sz w:val="17"/>
              </w:rPr>
              <w:t>20260401dshao</w:t>
            </w:r>
          </w:p>
        </w:tc>
      </w:tr>
      <w:tr>
        <w:tc>
          <w:tcPr>
            <w:tcW w:type="dxa" w:w="2520"/>
            <w:tcMar>
              <w:top w:w="80" w:type="dxa"/>
              <w:start w:w="100" w:type="dxa"/>
              <w:bottom w:w="80" w:type="dxa"/>
              <w:end w:w="100" w:type="dxa"/>
            </w:tcMar>
            <w:vAlign w:val="center"/>
          </w:tcPr>
          <w:p>
            <w:pPr>
              <w:spacing w:after="0"/>
            </w:pPr>
            <w:r>
              <w:rPr>
                <w:sz w:val="17"/>
              </w:rPr>
              <w:t>Blob container</w:t>
            </w:r>
          </w:p>
        </w:tc>
        <w:tc>
          <w:tcPr>
            <w:tcW w:type="dxa" w:w="6984"/>
            <w:tcMar>
              <w:top w:w="80" w:type="dxa"/>
              <w:start w:w="100" w:type="dxa"/>
              <w:bottom w:w="80" w:type="dxa"/>
              <w:end w:w="100" w:type="dxa"/>
            </w:tcMar>
            <w:vAlign w:val="center"/>
          </w:tcPr>
          <w:p>
            <w:pPr>
              <w:spacing w:after="0"/>
            </w:pPr>
            <w:r>
              <w:rPr>
                <w:sz w:val="17"/>
              </w:rPr>
              <w:t>raw</w:t>
            </w:r>
          </w:p>
        </w:tc>
      </w:tr>
      <w:tr>
        <w:tc>
          <w:tcPr>
            <w:tcW w:type="dxa" w:w="2520"/>
            <w:tcMar>
              <w:top w:w="80" w:type="dxa"/>
              <w:start w:w="100" w:type="dxa"/>
              <w:bottom w:w="80" w:type="dxa"/>
              <w:end w:w="100" w:type="dxa"/>
            </w:tcMar>
            <w:vAlign w:val="center"/>
          </w:tcPr>
          <w:p>
            <w:pPr>
              <w:spacing w:after="0"/>
            </w:pPr>
            <w:r>
              <w:rPr>
                <w:sz w:val="17"/>
              </w:rPr>
              <w:t>Registered Entra app</w:t>
            </w:r>
          </w:p>
        </w:tc>
        <w:tc>
          <w:tcPr>
            <w:tcW w:type="dxa" w:w="6984"/>
            <w:tcMar>
              <w:top w:w="80" w:type="dxa"/>
              <w:start w:w="100" w:type="dxa"/>
              <w:bottom w:w="80" w:type="dxa"/>
              <w:end w:w="100" w:type="dxa"/>
            </w:tcMar>
            <w:vAlign w:val="center"/>
          </w:tcPr>
          <w:p>
            <w:pPr>
              <w:spacing w:after="0"/>
            </w:pPr>
            <w:r>
              <w:rPr>
                <w:sz w:val="17"/>
              </w:rPr>
              <w:t>adf-sharepoint-reader; app/client ID a0489b1e-b42c-4d40-9a87-48054855bfa8</w:t>
            </w:r>
          </w:p>
        </w:tc>
      </w:tr>
      <w:tr>
        <w:tc>
          <w:tcPr>
            <w:tcW w:type="dxa" w:w="2520"/>
            <w:tcMar>
              <w:top w:w="80" w:type="dxa"/>
              <w:start w:w="100" w:type="dxa"/>
              <w:bottom w:w="80" w:type="dxa"/>
              <w:end w:w="100" w:type="dxa"/>
            </w:tcMar>
            <w:vAlign w:val="center"/>
          </w:tcPr>
          <w:p>
            <w:pPr>
              <w:spacing w:after="0"/>
            </w:pPr>
            <w:r>
              <w:rPr>
                <w:sz w:val="17"/>
              </w:rPr>
              <w:t>SQL target</w:t>
            </w:r>
          </w:p>
        </w:tc>
        <w:tc>
          <w:tcPr>
            <w:tcW w:type="dxa" w:w="6984"/>
            <w:tcMar>
              <w:top w:w="80" w:type="dxa"/>
              <w:start w:w="100" w:type="dxa"/>
              <w:bottom w:w="80" w:type="dxa"/>
              <w:end w:w="100" w:type="dxa"/>
            </w:tcMar>
            <w:vAlign w:val="center"/>
          </w:tcPr>
          <w:p>
            <w:pPr>
              <w:spacing w:after="0"/>
            </w:pPr>
            <w:r>
              <w:rPr>
                <w:sz w:val="17"/>
              </w:rPr>
              <w:t>P21Import database through the ADF SQL linked service.</w:t>
            </w:r>
          </w:p>
        </w:tc>
      </w:tr>
    </w:tbl>
    <w:p/>
    <w:p>
      <w:pPr>
        <w:pStyle w:val="Heading1"/>
        <w:keepNext/>
      </w:pPr>
      <w:r>
        <w:t>Important Configuration</w:t>
      </w:r>
    </w:p>
    <w:p>
      <w:r>
        <w:t>The deployment script reads a local .env file. Do not store this file in public source control and do not send it by email.</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040"/>
        <w:gridCol w:w="5040"/>
      </w:tblGrid>
      <w:tr>
        <w:trPr>
          <w:tblHeader w:val="true"/>
        </w:trPr>
        <w:tc>
          <w:tcPr>
            <w:tcW w:type="dxa" w:w="3312"/>
            <w:shd w:fill="1F4E79"/>
            <w:tcMar>
              <w:top w:w="80" w:type="dxa"/>
              <w:start w:w="100" w:type="dxa"/>
              <w:bottom w:w="80" w:type="dxa"/>
              <w:end w:w="100" w:type="dxa"/>
            </w:tcMar>
            <w:vAlign w:val="center"/>
          </w:tcPr>
          <w:p>
            <w:pPr>
              <w:jc w:val="center"/>
            </w:pPr>
            <w:r>
              <w:rPr>
                <w:b/>
                <w:i w:val="0"/>
                <w:color w:val="FFFFFF"/>
                <w:sz w:val="17"/>
              </w:rPr>
              <w:t>Setting</w:t>
            </w:r>
          </w:p>
        </w:tc>
        <w:tc>
          <w:tcPr>
            <w:tcW w:type="dxa" w:w="6192"/>
            <w:shd w:fill="1F4E79"/>
            <w:tcMar>
              <w:top w:w="80" w:type="dxa"/>
              <w:start w:w="100" w:type="dxa"/>
              <w:bottom w:w="80" w:type="dxa"/>
              <w:end w:w="100" w:type="dxa"/>
            </w:tcMar>
            <w:vAlign w:val="center"/>
          </w:tcPr>
          <w:p>
            <w:pPr>
              <w:jc w:val="center"/>
            </w:pPr>
            <w:r>
              <w:rPr>
                <w:b/>
                <w:i w:val="0"/>
                <w:color w:val="FFFFFF"/>
                <w:sz w:val="17"/>
              </w:rPr>
              <w:t>Purpose</w:t>
            </w:r>
          </w:p>
        </w:tc>
      </w:tr>
      <w:tr>
        <w:tc>
          <w:tcPr>
            <w:tcW w:type="dxa" w:w="3312"/>
            <w:tcMar>
              <w:top w:w="80" w:type="dxa"/>
              <w:start w:w="100" w:type="dxa"/>
              <w:bottom w:w="80" w:type="dxa"/>
              <w:end w:w="100" w:type="dxa"/>
            </w:tcMar>
            <w:vAlign w:val="center"/>
          </w:tcPr>
          <w:p>
            <w:pPr>
              <w:spacing w:after="0"/>
            </w:pPr>
            <w:r>
              <w:rPr>
                <w:sz w:val="17"/>
              </w:rPr>
              <w:t>AZURE_TENANT_ID / AZURE_CLIENT_ID / AZURE_CLIENT_SECRET</w:t>
            </w:r>
          </w:p>
        </w:tc>
        <w:tc>
          <w:tcPr>
            <w:tcW w:type="dxa" w:w="6192"/>
            <w:tcMar>
              <w:top w:w="80" w:type="dxa"/>
              <w:start w:w="100" w:type="dxa"/>
              <w:bottom w:w="80" w:type="dxa"/>
              <w:end w:w="100" w:type="dxa"/>
            </w:tcMar>
            <w:vAlign w:val="center"/>
          </w:tcPr>
          <w:p>
            <w:pPr>
              <w:spacing w:after="0"/>
            </w:pPr>
            <w:r>
              <w:rPr>
                <w:sz w:val="17"/>
              </w:rPr>
              <w:t>Graph app-only authentication for SharePoint and email operations.</w:t>
            </w:r>
          </w:p>
        </w:tc>
      </w:tr>
      <w:tr>
        <w:tc>
          <w:tcPr>
            <w:tcW w:type="dxa" w:w="3312"/>
            <w:tcMar>
              <w:top w:w="80" w:type="dxa"/>
              <w:start w:w="100" w:type="dxa"/>
              <w:bottom w:w="80" w:type="dxa"/>
              <w:end w:w="100" w:type="dxa"/>
            </w:tcMar>
            <w:vAlign w:val="center"/>
          </w:tcPr>
          <w:p>
            <w:pPr>
              <w:spacing w:after="0"/>
            </w:pPr>
            <w:r>
              <w:rPr>
                <w:sz w:val="17"/>
              </w:rPr>
              <w:t>AZURE_SUBSCRIPTION_ID / AZURE_RESOURCE_GROUP / ADF_FACTORY_NAME</w:t>
            </w:r>
          </w:p>
        </w:tc>
        <w:tc>
          <w:tcPr>
            <w:tcW w:type="dxa" w:w="6192"/>
            <w:tcMar>
              <w:top w:w="80" w:type="dxa"/>
              <w:start w:w="100" w:type="dxa"/>
              <w:bottom w:w="80" w:type="dxa"/>
              <w:end w:w="100" w:type="dxa"/>
            </w:tcMar>
            <w:vAlign w:val="center"/>
          </w:tcPr>
          <w:p>
            <w:pPr>
              <w:spacing w:after="0"/>
            </w:pPr>
            <w:r>
              <w:rPr>
                <w:sz w:val="17"/>
              </w:rPr>
              <w:t>Azure Resource Manager and ADF deployment target.</w:t>
            </w:r>
          </w:p>
        </w:tc>
      </w:tr>
      <w:tr>
        <w:tc>
          <w:tcPr>
            <w:tcW w:type="dxa" w:w="3312"/>
            <w:tcMar>
              <w:top w:w="80" w:type="dxa"/>
              <w:start w:w="100" w:type="dxa"/>
              <w:bottom w:w="80" w:type="dxa"/>
              <w:end w:w="100" w:type="dxa"/>
            </w:tcMar>
            <w:vAlign w:val="center"/>
          </w:tcPr>
          <w:p>
            <w:pPr>
              <w:spacing w:after="0"/>
            </w:pPr>
            <w:r>
              <w:rPr>
                <w:sz w:val="17"/>
              </w:rPr>
              <w:t>SHAREPOINT_SITE_URL / SHAREPOINT_LIBRARY</w:t>
            </w:r>
          </w:p>
        </w:tc>
        <w:tc>
          <w:tcPr>
            <w:tcW w:type="dxa" w:w="6192"/>
            <w:tcMar>
              <w:top w:w="80" w:type="dxa"/>
              <w:start w:w="100" w:type="dxa"/>
              <w:bottom w:w="80" w:type="dxa"/>
              <w:end w:w="100" w:type="dxa"/>
            </w:tcMar>
            <w:vAlign w:val="center"/>
          </w:tcPr>
          <w:p>
            <w:pPr>
              <w:spacing w:after="0"/>
            </w:pPr>
            <w:r>
              <w:rPr>
                <w:sz w:val="17"/>
              </w:rPr>
              <w:t>Komar Public SharePoint site and document library.</w:t>
            </w:r>
          </w:p>
        </w:tc>
      </w:tr>
      <w:tr>
        <w:tc>
          <w:tcPr>
            <w:tcW w:type="dxa" w:w="3312"/>
            <w:tcMar>
              <w:top w:w="80" w:type="dxa"/>
              <w:start w:w="100" w:type="dxa"/>
              <w:bottom w:w="80" w:type="dxa"/>
              <w:end w:w="100" w:type="dxa"/>
            </w:tcMar>
            <w:vAlign w:val="center"/>
          </w:tcPr>
          <w:p>
            <w:pPr>
              <w:spacing w:after="0"/>
            </w:pPr>
            <w:r>
              <w:rPr>
                <w:sz w:val="17"/>
              </w:rPr>
              <w:t>STORAGE_ACCOUNT_NAME / STORAGE_CONTAINER</w:t>
            </w:r>
          </w:p>
        </w:tc>
        <w:tc>
          <w:tcPr>
            <w:tcW w:type="dxa" w:w="6192"/>
            <w:tcMar>
              <w:top w:w="80" w:type="dxa"/>
              <w:start w:w="100" w:type="dxa"/>
              <w:bottom w:w="80" w:type="dxa"/>
              <w:end w:w="100" w:type="dxa"/>
            </w:tcMar>
            <w:vAlign w:val="center"/>
          </w:tcPr>
          <w:p>
            <w:pPr>
              <w:spacing w:after="0"/>
            </w:pPr>
            <w:r>
              <w:rPr>
                <w:sz w:val="17"/>
              </w:rPr>
              <w:t>Raw workbook landing and event claim storage.</w:t>
            </w:r>
          </w:p>
        </w:tc>
      </w:tr>
      <w:tr>
        <w:tc>
          <w:tcPr>
            <w:tcW w:type="dxa" w:w="3312"/>
            <w:tcMar>
              <w:top w:w="80" w:type="dxa"/>
              <w:start w:w="100" w:type="dxa"/>
              <w:bottom w:w="80" w:type="dxa"/>
              <w:end w:w="100" w:type="dxa"/>
            </w:tcMar>
            <w:vAlign w:val="center"/>
          </w:tcPr>
          <w:p>
            <w:pPr>
              <w:spacing w:after="0"/>
            </w:pPr>
            <w:r>
              <w:rPr>
                <w:sz w:val="17"/>
              </w:rPr>
              <w:t>SQL_LINKED_SERVICE_NAME</w:t>
            </w:r>
          </w:p>
        </w:tc>
        <w:tc>
          <w:tcPr>
            <w:tcW w:type="dxa" w:w="6192"/>
            <w:tcMar>
              <w:top w:w="80" w:type="dxa"/>
              <w:start w:w="100" w:type="dxa"/>
              <w:bottom w:w="80" w:type="dxa"/>
              <w:end w:w="100" w:type="dxa"/>
            </w:tcMar>
            <w:vAlign w:val="center"/>
          </w:tcPr>
          <w:p>
            <w:pPr>
              <w:spacing w:after="0"/>
            </w:pPr>
            <w:r>
              <w:rPr>
                <w:sz w:val="17"/>
              </w:rPr>
              <w:t>ADF linked service used for P21Import SQL Script activities.</w:t>
            </w:r>
          </w:p>
        </w:tc>
      </w:tr>
      <w:tr>
        <w:tc>
          <w:tcPr>
            <w:tcW w:type="dxa" w:w="3312"/>
            <w:tcMar>
              <w:top w:w="80" w:type="dxa"/>
              <w:start w:w="100" w:type="dxa"/>
              <w:bottom w:w="80" w:type="dxa"/>
              <w:end w:w="100" w:type="dxa"/>
            </w:tcMar>
            <w:vAlign w:val="center"/>
          </w:tcPr>
          <w:p>
            <w:pPr>
              <w:spacing w:after="0"/>
            </w:pPr>
            <w:r>
              <w:rPr>
                <w:sz w:val="17"/>
              </w:rPr>
              <w:t>COATS_FUNCTION_APP_NAME</w:t>
            </w:r>
          </w:p>
        </w:tc>
        <w:tc>
          <w:tcPr>
            <w:tcW w:type="dxa" w:w="6192"/>
            <w:tcMar>
              <w:top w:w="80" w:type="dxa"/>
              <w:start w:w="100" w:type="dxa"/>
              <w:bottom w:w="80" w:type="dxa"/>
              <w:end w:w="100" w:type="dxa"/>
            </w:tcMar>
            <w:vAlign w:val="center"/>
          </w:tcPr>
          <w:p>
            <w:pPr>
              <w:spacing w:after="0"/>
            </w:pPr>
            <w:r>
              <w:rPr>
                <w:sz w:val="17"/>
              </w:rPr>
              <w:t>Optional override for the Function App name.</w:t>
            </w:r>
          </w:p>
        </w:tc>
      </w:tr>
      <w:tr>
        <w:tc>
          <w:tcPr>
            <w:tcW w:type="dxa" w:w="3312"/>
            <w:tcMar>
              <w:top w:w="80" w:type="dxa"/>
              <w:start w:w="100" w:type="dxa"/>
              <w:bottom w:w="80" w:type="dxa"/>
              <w:end w:w="100" w:type="dxa"/>
            </w:tcMar>
            <w:vAlign w:val="center"/>
          </w:tcPr>
          <w:p>
            <w:pPr>
              <w:spacing w:after="0"/>
            </w:pPr>
            <w:r>
              <w:rPr>
                <w:sz w:val="17"/>
              </w:rPr>
              <w:t>COATS_ADF_PIPELINE_NAME</w:t>
            </w:r>
          </w:p>
        </w:tc>
        <w:tc>
          <w:tcPr>
            <w:tcW w:type="dxa" w:w="6192"/>
            <w:tcMar>
              <w:top w:w="80" w:type="dxa"/>
              <w:start w:w="100" w:type="dxa"/>
              <w:bottom w:w="80" w:type="dxa"/>
              <w:end w:w="100" w:type="dxa"/>
            </w:tcMar>
            <w:vAlign w:val="center"/>
          </w:tcPr>
          <w:p>
            <w:pPr>
              <w:spacing w:after="0"/>
            </w:pPr>
            <w:r>
              <w:rPr>
                <w:sz w:val="17"/>
              </w:rPr>
              <w:t>Optional override; default is Coats_Mexico_Shipment_Stage_And_Validate.</w:t>
            </w:r>
          </w:p>
        </w:tc>
      </w:tr>
      <w:tr>
        <w:tc>
          <w:tcPr>
            <w:tcW w:type="dxa" w:w="3312"/>
            <w:tcMar>
              <w:top w:w="80" w:type="dxa"/>
              <w:start w:w="100" w:type="dxa"/>
              <w:bottom w:w="80" w:type="dxa"/>
              <w:end w:w="100" w:type="dxa"/>
            </w:tcMar>
            <w:vAlign w:val="center"/>
          </w:tcPr>
          <w:p>
            <w:pPr>
              <w:spacing w:after="0"/>
            </w:pPr>
            <w:r>
              <w:rPr>
                <w:sz w:val="17"/>
              </w:rPr>
              <w:t>COATS_SHAREPOINT_FOLDER_PATH</w:t>
            </w:r>
          </w:p>
        </w:tc>
        <w:tc>
          <w:tcPr>
            <w:tcW w:type="dxa" w:w="6192"/>
            <w:tcMar>
              <w:top w:w="80" w:type="dxa"/>
              <w:start w:w="100" w:type="dxa"/>
              <w:bottom w:w="80" w:type="dxa"/>
              <w:end w:w="100" w:type="dxa"/>
            </w:tcMar>
            <w:vAlign w:val="center"/>
          </w:tcPr>
          <w:p>
            <w:pPr>
              <w:spacing w:after="0"/>
            </w:pPr>
            <w:r>
              <w:rPr>
                <w:sz w:val="17"/>
              </w:rPr>
              <w:t>Optional override; default is Coats Mexico Shipment Reports.</w:t>
            </w:r>
          </w:p>
        </w:tc>
      </w:tr>
      <w:tr>
        <w:tc>
          <w:tcPr>
            <w:tcW w:type="dxa" w:w="3312"/>
            <w:tcMar>
              <w:top w:w="80" w:type="dxa"/>
              <w:start w:w="100" w:type="dxa"/>
              <w:bottom w:w="80" w:type="dxa"/>
              <w:end w:w="100" w:type="dxa"/>
            </w:tcMar>
            <w:vAlign w:val="center"/>
          </w:tcPr>
          <w:p>
            <w:pPr>
              <w:spacing w:after="0"/>
            </w:pPr>
            <w:r>
              <w:rPr>
                <w:sz w:val="17"/>
              </w:rPr>
              <w:t>COATS_VALIDATION_EMAIL_FROM / TO / CC</w:t>
            </w:r>
          </w:p>
        </w:tc>
        <w:tc>
          <w:tcPr>
            <w:tcW w:type="dxa" w:w="6192"/>
            <w:tcMar>
              <w:top w:w="80" w:type="dxa"/>
              <w:start w:w="100" w:type="dxa"/>
              <w:bottom w:w="80" w:type="dxa"/>
              <w:end w:w="100" w:type="dxa"/>
            </w:tcMar>
            <w:vAlign w:val="center"/>
          </w:tcPr>
          <w:p>
            <w:pPr>
              <w:spacing w:after="0"/>
            </w:pPr>
            <w:r>
              <w:rPr>
                <w:sz w:val="17"/>
              </w:rPr>
              <w:t>Mailbox and recipients for validation failure and success emails.</w:t>
            </w:r>
          </w:p>
        </w:tc>
      </w:tr>
      <w:tr>
        <w:tc>
          <w:tcPr>
            <w:tcW w:type="dxa" w:w="3312"/>
            <w:tcMar>
              <w:top w:w="80" w:type="dxa"/>
              <w:start w:w="100" w:type="dxa"/>
              <w:bottom w:w="80" w:type="dxa"/>
              <w:end w:w="100" w:type="dxa"/>
            </w:tcMar>
            <w:vAlign w:val="center"/>
          </w:tcPr>
          <w:p>
            <w:pPr>
              <w:spacing w:after="0"/>
            </w:pPr>
            <w:r>
              <w:rPr>
                <w:sz w:val="17"/>
              </w:rPr>
              <w:t>COATS_P21_CREATED_BY</w:t>
            </w:r>
          </w:p>
        </w:tc>
        <w:tc>
          <w:tcPr>
            <w:tcW w:type="dxa" w:w="6192"/>
            <w:tcMar>
              <w:top w:w="80" w:type="dxa"/>
              <w:start w:w="100" w:type="dxa"/>
              <w:bottom w:w="80" w:type="dxa"/>
              <w:end w:w="100" w:type="dxa"/>
            </w:tcMar>
            <w:vAlign w:val="center"/>
          </w:tcPr>
          <w:p>
            <w:pPr>
              <w:spacing w:after="0"/>
            </w:pPr>
            <w:r>
              <w:rPr>
                <w:sz w:val="17"/>
              </w:rPr>
              <w:t>Value written to P21Import created_by / last_maintained_by fields; defaults to ADF.</w:t>
            </w:r>
          </w:p>
        </w:tc>
      </w:tr>
    </w:tbl>
    <w:p/>
    <w:p>
      <w:pPr>
        <w:pStyle w:val="Heading1"/>
        <w:keepNext/>
      </w:pPr>
      <w:r>
        <w:t>Architecture Flow</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60"/>
        <w:gridCol w:w="3360"/>
        <w:gridCol w:w="3360"/>
      </w:tblGrid>
      <w:tr>
        <w:trPr>
          <w:tblHeader w:val="true"/>
        </w:trPr>
        <w:tc>
          <w:tcPr>
            <w:tcW w:type="dxa" w:w="648"/>
            <w:shd w:fill="1F4E79"/>
            <w:tcMar>
              <w:top w:w="80" w:type="dxa"/>
              <w:start w:w="100" w:type="dxa"/>
              <w:bottom w:w="80" w:type="dxa"/>
              <w:end w:w="100" w:type="dxa"/>
            </w:tcMar>
            <w:vAlign w:val="center"/>
          </w:tcPr>
          <w:p>
            <w:pPr>
              <w:jc w:val="center"/>
            </w:pPr>
            <w:r>
              <w:rPr>
                <w:b/>
                <w:i w:val="0"/>
                <w:color w:val="FFFFFF"/>
                <w:sz w:val="17"/>
              </w:rPr>
              <w:t>Step</w:t>
            </w:r>
          </w:p>
        </w:tc>
        <w:tc>
          <w:tcPr>
            <w:tcW w:type="dxa" w:w="2088"/>
            <w:shd w:fill="1F4E79"/>
            <w:tcMar>
              <w:top w:w="80" w:type="dxa"/>
              <w:start w:w="100" w:type="dxa"/>
              <w:bottom w:w="80" w:type="dxa"/>
              <w:end w:w="100" w:type="dxa"/>
            </w:tcMar>
            <w:vAlign w:val="center"/>
          </w:tcPr>
          <w:p>
            <w:pPr>
              <w:jc w:val="center"/>
            </w:pPr>
            <w:r>
              <w:rPr>
                <w:b/>
                <w:i w:val="0"/>
                <w:color w:val="FFFFFF"/>
                <w:sz w:val="17"/>
              </w:rPr>
              <w:t>Component</w:t>
            </w:r>
          </w:p>
        </w:tc>
        <w:tc>
          <w:tcPr>
            <w:tcW w:type="dxa" w:w="6768"/>
            <w:shd w:fill="1F4E79"/>
            <w:tcMar>
              <w:top w:w="80" w:type="dxa"/>
              <w:start w:w="100" w:type="dxa"/>
              <w:bottom w:w="80" w:type="dxa"/>
              <w:end w:w="100" w:type="dxa"/>
            </w:tcMar>
            <w:vAlign w:val="center"/>
          </w:tcPr>
          <w:p>
            <w:pPr>
              <w:jc w:val="center"/>
            </w:pPr>
            <w:r>
              <w:rPr>
                <w:b/>
                <w:i w:val="0"/>
                <w:color w:val="FFFFFF"/>
                <w:sz w:val="17"/>
              </w:rPr>
              <w:t>What happens</w:t>
            </w:r>
          </w:p>
        </w:tc>
      </w:tr>
      <w:tr>
        <w:tc>
          <w:tcPr>
            <w:tcW w:type="dxa" w:w="648"/>
            <w:tcMar>
              <w:top w:w="80" w:type="dxa"/>
              <w:start w:w="100" w:type="dxa"/>
              <w:bottom w:w="80" w:type="dxa"/>
              <w:end w:w="100" w:type="dxa"/>
            </w:tcMar>
            <w:vAlign w:val="center"/>
          </w:tcPr>
          <w:p>
            <w:pPr>
              <w:spacing w:after="0"/>
            </w:pPr>
            <w:r>
              <w:rPr>
                <w:sz w:val="17"/>
              </w:rPr>
              <w:t>1</w:t>
            </w:r>
          </w:p>
        </w:tc>
        <w:tc>
          <w:tcPr>
            <w:tcW w:type="dxa" w:w="2088"/>
            <w:tcMar>
              <w:top w:w="80" w:type="dxa"/>
              <w:start w:w="100" w:type="dxa"/>
              <w:bottom w:w="80" w:type="dxa"/>
              <w:end w:w="100" w:type="dxa"/>
            </w:tcMar>
            <w:vAlign w:val="center"/>
          </w:tcPr>
          <w:p>
            <w:pPr>
              <w:spacing w:after="0"/>
            </w:pPr>
            <w:r>
              <w:rPr>
                <w:sz w:val="17"/>
              </w:rPr>
              <w:t>SharePoint</w:t>
            </w:r>
          </w:p>
        </w:tc>
        <w:tc>
          <w:tcPr>
            <w:tcW w:type="dxa" w:w="6768"/>
            <w:tcMar>
              <w:top w:w="80" w:type="dxa"/>
              <w:start w:w="100" w:type="dxa"/>
              <w:bottom w:w="80" w:type="dxa"/>
              <w:end w:w="100" w:type="dxa"/>
            </w:tcMar>
            <w:vAlign w:val="center"/>
          </w:tcPr>
          <w:p>
            <w:pPr>
              <w:spacing w:after="0"/>
            </w:pPr>
            <w:r>
              <w:rPr>
                <w:sz w:val="17"/>
              </w:rPr>
              <w:t>Workbook is uploaded to Coats Mexico Shipment Reports.</w:t>
            </w:r>
          </w:p>
        </w:tc>
      </w:tr>
      <w:tr>
        <w:tc>
          <w:tcPr>
            <w:tcW w:type="dxa" w:w="648"/>
            <w:tcMar>
              <w:top w:w="80" w:type="dxa"/>
              <w:start w:w="100" w:type="dxa"/>
              <w:bottom w:w="80" w:type="dxa"/>
              <w:end w:w="100" w:type="dxa"/>
            </w:tcMar>
            <w:vAlign w:val="center"/>
          </w:tcPr>
          <w:p>
            <w:pPr>
              <w:spacing w:after="0"/>
            </w:pPr>
            <w:r>
              <w:rPr>
                <w:sz w:val="17"/>
              </w:rPr>
              <w:t>2</w:t>
            </w:r>
          </w:p>
        </w:tc>
        <w:tc>
          <w:tcPr>
            <w:tcW w:type="dxa" w:w="2088"/>
            <w:tcMar>
              <w:top w:w="80" w:type="dxa"/>
              <w:start w:w="100" w:type="dxa"/>
              <w:bottom w:w="80" w:type="dxa"/>
              <w:end w:w="100" w:type="dxa"/>
            </w:tcMar>
            <w:vAlign w:val="center"/>
          </w:tcPr>
          <w:p>
            <w:pPr>
              <w:spacing w:after="0"/>
            </w:pPr>
            <w:r>
              <w:rPr>
                <w:sz w:val="17"/>
              </w:rPr>
              <w:t>Microsoft Graph subscription</w:t>
            </w:r>
          </w:p>
        </w:tc>
        <w:tc>
          <w:tcPr>
            <w:tcW w:type="dxa" w:w="6768"/>
            <w:tcMar>
              <w:top w:w="80" w:type="dxa"/>
              <w:start w:w="100" w:type="dxa"/>
              <w:bottom w:w="80" w:type="dxa"/>
              <w:end w:w="100" w:type="dxa"/>
            </w:tcMar>
            <w:vAlign w:val="center"/>
          </w:tcPr>
          <w:p>
            <w:pPr>
              <w:spacing w:after="0"/>
            </w:pPr>
            <w:r>
              <w:rPr>
                <w:sz w:val="17"/>
              </w:rPr>
              <w:t>Sends change notification to the Function route graph-sharepoint-notification.</w:t>
            </w:r>
          </w:p>
        </w:tc>
      </w:tr>
      <w:tr>
        <w:tc>
          <w:tcPr>
            <w:tcW w:type="dxa" w:w="648"/>
            <w:tcMar>
              <w:top w:w="80" w:type="dxa"/>
              <w:start w:w="100" w:type="dxa"/>
              <w:bottom w:w="80" w:type="dxa"/>
              <w:end w:w="100" w:type="dxa"/>
            </w:tcMar>
            <w:vAlign w:val="center"/>
          </w:tcPr>
          <w:p>
            <w:pPr>
              <w:spacing w:after="0"/>
            </w:pPr>
            <w:r>
              <w:rPr>
                <w:sz w:val="17"/>
              </w:rPr>
              <w:t>3</w:t>
            </w:r>
          </w:p>
        </w:tc>
        <w:tc>
          <w:tcPr>
            <w:tcW w:type="dxa" w:w="2088"/>
            <w:tcMar>
              <w:top w:w="80" w:type="dxa"/>
              <w:start w:w="100" w:type="dxa"/>
              <w:bottom w:w="80" w:type="dxa"/>
              <w:end w:w="100" w:type="dxa"/>
            </w:tcMar>
            <w:vAlign w:val="center"/>
          </w:tcPr>
          <w:p>
            <w:pPr>
              <w:spacing w:after="0"/>
            </w:pPr>
            <w:r>
              <w:rPr>
                <w:sz w:val="17"/>
              </w:rPr>
              <w:t>Azure Function</w:t>
            </w:r>
          </w:p>
        </w:tc>
        <w:tc>
          <w:tcPr>
            <w:tcW w:type="dxa" w:w="6768"/>
            <w:tcMar>
              <w:top w:w="80" w:type="dxa"/>
              <w:start w:w="100" w:type="dxa"/>
              <w:bottom w:w="80" w:type="dxa"/>
              <w:end w:w="100" w:type="dxa"/>
            </w:tcMar>
            <w:vAlign w:val="center"/>
          </w:tcPr>
          <w:p>
            <w:pPr>
              <w:spacing w:after="0"/>
            </w:pPr>
            <w:r>
              <w:rPr>
                <w:sz w:val="17"/>
              </w:rPr>
              <w:t>Validates subscription challenges, resolves drive items, filters to target .xlsx files, and claims each file version to prevent duplicate processing.</w:t>
            </w:r>
          </w:p>
        </w:tc>
      </w:tr>
      <w:tr>
        <w:tc>
          <w:tcPr>
            <w:tcW w:type="dxa" w:w="648"/>
            <w:tcMar>
              <w:top w:w="80" w:type="dxa"/>
              <w:start w:w="100" w:type="dxa"/>
              <w:bottom w:w="80" w:type="dxa"/>
              <w:end w:w="100" w:type="dxa"/>
            </w:tcMar>
            <w:vAlign w:val="center"/>
          </w:tcPr>
          <w:p>
            <w:pPr>
              <w:spacing w:after="0"/>
            </w:pPr>
            <w:r>
              <w:rPr>
                <w:sz w:val="17"/>
              </w:rPr>
              <w:t>4</w:t>
            </w:r>
          </w:p>
        </w:tc>
        <w:tc>
          <w:tcPr>
            <w:tcW w:type="dxa" w:w="2088"/>
            <w:tcMar>
              <w:top w:w="80" w:type="dxa"/>
              <w:start w:w="100" w:type="dxa"/>
              <w:bottom w:w="80" w:type="dxa"/>
              <w:end w:w="100" w:type="dxa"/>
            </w:tcMar>
            <w:vAlign w:val="center"/>
          </w:tcPr>
          <w:p>
            <w:pPr>
              <w:spacing w:after="0"/>
            </w:pPr>
            <w:r>
              <w:rPr>
                <w:sz w:val="17"/>
              </w:rPr>
              <w:t>ADF pipeline</w:t>
            </w:r>
          </w:p>
        </w:tc>
        <w:tc>
          <w:tcPr>
            <w:tcW w:type="dxa" w:w="6768"/>
            <w:tcMar>
              <w:top w:w="80" w:type="dxa"/>
              <w:start w:w="100" w:type="dxa"/>
              <w:bottom w:w="80" w:type="dxa"/>
              <w:end w:w="100" w:type="dxa"/>
            </w:tcMar>
            <w:vAlign w:val="center"/>
          </w:tcPr>
          <w:p>
            <w:pPr>
              <w:spacing w:after="0"/>
            </w:pPr>
            <w:r>
              <w:rPr>
                <w:sz w:val="17"/>
              </w:rPr>
              <w:t>Receives drive item metadata and starts ProcessCoatsWorkbook.</w:t>
            </w:r>
          </w:p>
        </w:tc>
      </w:tr>
      <w:tr>
        <w:tc>
          <w:tcPr>
            <w:tcW w:type="dxa" w:w="648"/>
            <w:tcMar>
              <w:top w:w="80" w:type="dxa"/>
              <w:start w:w="100" w:type="dxa"/>
              <w:bottom w:w="80" w:type="dxa"/>
              <w:end w:w="100" w:type="dxa"/>
            </w:tcMar>
            <w:vAlign w:val="center"/>
          </w:tcPr>
          <w:p>
            <w:pPr>
              <w:spacing w:after="0"/>
            </w:pPr>
            <w:r>
              <w:rPr>
                <w:sz w:val="17"/>
              </w:rPr>
              <w:t>5</w:t>
            </w:r>
          </w:p>
        </w:tc>
        <w:tc>
          <w:tcPr>
            <w:tcW w:type="dxa" w:w="2088"/>
            <w:tcMar>
              <w:top w:w="80" w:type="dxa"/>
              <w:start w:w="100" w:type="dxa"/>
              <w:bottom w:w="80" w:type="dxa"/>
              <w:end w:w="100" w:type="dxa"/>
            </w:tcMar>
            <w:vAlign w:val="center"/>
          </w:tcPr>
          <w:p>
            <w:pPr>
              <w:spacing w:after="0"/>
            </w:pPr>
            <w:r>
              <w:rPr>
                <w:sz w:val="17"/>
              </w:rPr>
              <w:t>Azure Function</w:t>
            </w:r>
          </w:p>
        </w:tc>
        <w:tc>
          <w:tcPr>
            <w:tcW w:type="dxa" w:w="6768"/>
            <w:tcMar>
              <w:top w:w="80" w:type="dxa"/>
              <w:start w:w="100" w:type="dxa"/>
              <w:bottom w:w="80" w:type="dxa"/>
              <w:end w:w="100" w:type="dxa"/>
            </w:tcMar>
            <w:vAlign w:val="center"/>
          </w:tcPr>
          <w:p>
            <w:pPr>
              <w:spacing w:after="0"/>
            </w:pPr>
            <w:r>
              <w:rPr>
                <w:sz w:val="17"/>
              </w:rPr>
              <w:t>Downloads the workbook, saves the original to raw/coats-mexico/YYYY/MM/DD/&lt;filename&gt;, and extracts workbook data/comments.</w:t>
            </w:r>
          </w:p>
        </w:tc>
      </w:tr>
      <w:tr>
        <w:tc>
          <w:tcPr>
            <w:tcW w:type="dxa" w:w="648"/>
            <w:tcMar>
              <w:top w:w="80" w:type="dxa"/>
              <w:start w:w="100" w:type="dxa"/>
              <w:bottom w:w="80" w:type="dxa"/>
              <w:end w:w="100" w:type="dxa"/>
            </w:tcMar>
            <w:vAlign w:val="center"/>
          </w:tcPr>
          <w:p>
            <w:pPr>
              <w:spacing w:after="0"/>
            </w:pPr>
            <w:r>
              <w:rPr>
                <w:sz w:val="17"/>
              </w:rPr>
              <w:t>6</w:t>
            </w:r>
          </w:p>
        </w:tc>
        <w:tc>
          <w:tcPr>
            <w:tcW w:type="dxa" w:w="2088"/>
            <w:tcMar>
              <w:top w:w="80" w:type="dxa"/>
              <w:start w:w="100" w:type="dxa"/>
              <w:bottom w:w="80" w:type="dxa"/>
              <w:end w:w="100" w:type="dxa"/>
            </w:tcMar>
            <w:vAlign w:val="center"/>
          </w:tcPr>
          <w:p>
            <w:pPr>
              <w:spacing w:after="0"/>
            </w:pPr>
            <w:r>
              <w:rPr>
                <w:sz w:val="17"/>
              </w:rPr>
              <w:t>ADF Script activity</w:t>
            </w:r>
          </w:p>
        </w:tc>
        <w:tc>
          <w:tcPr>
            <w:tcW w:type="dxa" w:w="6768"/>
            <w:tcMar>
              <w:top w:w="80" w:type="dxa"/>
              <w:start w:w="100" w:type="dxa"/>
              <w:bottom w:w="80" w:type="dxa"/>
              <w:end w:w="100" w:type="dxa"/>
            </w:tcMar>
            <w:vAlign w:val="center"/>
          </w:tcPr>
          <w:p>
            <w:pPr>
              <w:spacing w:after="0"/>
            </w:pPr>
            <w:r>
              <w:rPr>
                <w:sz w:val="17"/>
              </w:rPr>
              <w:t>Stages file, raw lines, pallet lines, and initial extraction issues in P21Import.</w:t>
            </w:r>
          </w:p>
        </w:tc>
      </w:tr>
      <w:tr>
        <w:tc>
          <w:tcPr>
            <w:tcW w:type="dxa" w:w="648"/>
            <w:tcMar>
              <w:top w:w="80" w:type="dxa"/>
              <w:start w:w="100" w:type="dxa"/>
              <w:bottom w:w="80" w:type="dxa"/>
              <w:end w:w="100" w:type="dxa"/>
            </w:tcMar>
            <w:vAlign w:val="center"/>
          </w:tcPr>
          <w:p>
            <w:pPr>
              <w:spacing w:after="0"/>
            </w:pPr>
            <w:r>
              <w:rPr>
                <w:sz w:val="17"/>
              </w:rPr>
              <w:t>7</w:t>
            </w:r>
          </w:p>
        </w:tc>
        <w:tc>
          <w:tcPr>
            <w:tcW w:type="dxa" w:w="2088"/>
            <w:tcMar>
              <w:top w:w="80" w:type="dxa"/>
              <w:start w:w="100" w:type="dxa"/>
              <w:bottom w:w="80" w:type="dxa"/>
              <w:end w:w="100" w:type="dxa"/>
            </w:tcMar>
            <w:vAlign w:val="center"/>
          </w:tcPr>
          <w:p>
            <w:pPr>
              <w:spacing w:after="0"/>
            </w:pPr>
            <w:r>
              <w:rPr>
                <w:sz w:val="17"/>
              </w:rPr>
              <w:t>ADF Script activity</w:t>
            </w:r>
          </w:p>
        </w:tc>
        <w:tc>
          <w:tcPr>
            <w:tcW w:type="dxa" w:w="6768"/>
            <w:tcMar>
              <w:top w:w="80" w:type="dxa"/>
              <w:start w:w="100" w:type="dxa"/>
              <w:bottom w:w="80" w:type="dxa"/>
              <w:end w:w="100" w:type="dxa"/>
            </w:tcMar>
            <w:vAlign w:val="center"/>
          </w:tcPr>
          <w:p>
            <w:pPr>
              <w:spacing w:after="0"/>
            </w:pPr>
            <w:r>
              <w:rPr>
                <w:sz w:val="17"/>
              </w:rPr>
              <w:t>Runs SQL validation against P21/supplier/PO/bin reference data.</w:t>
            </w:r>
          </w:p>
        </w:tc>
      </w:tr>
      <w:tr>
        <w:tc>
          <w:tcPr>
            <w:tcW w:type="dxa" w:w="648"/>
            <w:tcMar>
              <w:top w:w="80" w:type="dxa"/>
              <w:start w:w="100" w:type="dxa"/>
              <w:bottom w:w="80" w:type="dxa"/>
              <w:end w:w="100" w:type="dxa"/>
            </w:tcMar>
            <w:vAlign w:val="center"/>
          </w:tcPr>
          <w:p>
            <w:pPr>
              <w:spacing w:after="0"/>
            </w:pPr>
            <w:r>
              <w:rPr>
                <w:sz w:val="17"/>
              </w:rPr>
              <w:t>8A</w:t>
            </w:r>
          </w:p>
        </w:tc>
        <w:tc>
          <w:tcPr>
            <w:tcW w:type="dxa" w:w="2088"/>
            <w:tcMar>
              <w:top w:w="80" w:type="dxa"/>
              <w:start w:w="100" w:type="dxa"/>
              <w:bottom w:w="80" w:type="dxa"/>
              <w:end w:w="100" w:type="dxa"/>
            </w:tcMar>
            <w:vAlign w:val="center"/>
          </w:tcPr>
          <w:p>
            <w:pPr>
              <w:spacing w:after="0"/>
            </w:pPr>
            <w:r>
              <w:rPr>
                <w:sz w:val="17"/>
              </w:rPr>
              <w:t>Failure path</w:t>
            </w:r>
          </w:p>
        </w:tc>
        <w:tc>
          <w:tcPr>
            <w:tcW w:type="dxa" w:w="6768"/>
            <w:tcMar>
              <w:top w:w="80" w:type="dxa"/>
              <w:start w:w="100" w:type="dxa"/>
              <w:bottom w:w="80" w:type="dxa"/>
              <w:end w:w="100" w:type="dxa"/>
            </w:tcMar>
            <w:vAlign w:val="center"/>
          </w:tcPr>
          <w:p>
            <w:pPr>
              <w:spacing w:after="0"/>
            </w:pPr>
            <w:r>
              <w:rPr>
                <w:sz w:val="17"/>
              </w:rPr>
              <w:t>Sends validation email and fails the ADF run; no receipt records are created.</w:t>
            </w:r>
          </w:p>
        </w:tc>
      </w:tr>
      <w:tr>
        <w:tc>
          <w:tcPr>
            <w:tcW w:type="dxa" w:w="648"/>
            <w:tcMar>
              <w:top w:w="80" w:type="dxa"/>
              <w:start w:w="100" w:type="dxa"/>
              <w:bottom w:w="80" w:type="dxa"/>
              <w:end w:w="100" w:type="dxa"/>
            </w:tcMar>
            <w:vAlign w:val="center"/>
          </w:tcPr>
          <w:p>
            <w:pPr>
              <w:spacing w:after="0"/>
            </w:pPr>
            <w:r>
              <w:rPr>
                <w:sz w:val="17"/>
              </w:rPr>
              <w:t>8B</w:t>
            </w:r>
          </w:p>
        </w:tc>
        <w:tc>
          <w:tcPr>
            <w:tcW w:type="dxa" w:w="2088"/>
            <w:tcMar>
              <w:top w:w="80" w:type="dxa"/>
              <w:start w:w="100" w:type="dxa"/>
              <w:bottom w:w="80" w:type="dxa"/>
              <w:end w:w="100" w:type="dxa"/>
            </w:tcMar>
            <w:vAlign w:val="center"/>
          </w:tcPr>
          <w:p>
            <w:pPr>
              <w:spacing w:after="0"/>
            </w:pPr>
            <w:r>
              <w:rPr>
                <w:sz w:val="17"/>
              </w:rPr>
              <w:t>Success path</w:t>
            </w:r>
          </w:p>
        </w:tc>
        <w:tc>
          <w:tcPr>
            <w:tcW w:type="dxa" w:w="6768"/>
            <w:tcMar>
              <w:top w:w="80" w:type="dxa"/>
              <w:start w:w="100" w:type="dxa"/>
              <w:bottom w:w="80" w:type="dxa"/>
              <w:end w:w="100" w:type="dxa"/>
            </w:tcMar>
            <w:vAlign w:val="center"/>
          </w:tcPr>
          <w:p>
            <w:pPr>
              <w:spacing w:after="0"/>
            </w:pPr>
            <w:r>
              <w:rPr>
                <w:sz w:val="17"/>
              </w:rPr>
              <w:t>Creates P21Import receipt records and sends a success email.</w:t>
            </w:r>
          </w:p>
        </w:tc>
      </w:tr>
    </w:tbl>
    <w:p/>
    <w:p>
      <w:pPr>
        <w:pStyle w:val="Heading1"/>
        <w:keepNext/>
      </w:pPr>
      <w:r>
        <w:t>Workbook Extraction Rules</w:t>
      </w:r>
    </w:p>
    <w:p>
      <w:pPr>
        <w:pStyle w:val="ListBullet"/>
      </w:pPr>
      <w:r>
        <w:t>The relevant worksheet is Material Detail.</w:t>
      </w:r>
    </w:p>
    <w:p>
      <w:pPr>
        <w:pStyle w:val="ListBullet"/>
      </w:pPr>
      <w:r>
        <w:t>The header row is detected dynamically by finding PALLET, MATERIAL, INVOICED QTY, and No. PEDIDO CLIENTE in the same row.</w:t>
      </w:r>
    </w:p>
    <w:p>
      <w:pPr>
        <w:pStyle w:val="ListBullet"/>
      </w:pPr>
      <w:r>
        <w:t>The extractor maps PALLET to Bin_ID, MATERIAL to Item_ID, INVOICED QTY to Invoiced_Qty, and No. PEDIDO CLIENTE to PO_No.</w:t>
      </w:r>
    </w:p>
    <w:p>
      <w:pPr>
        <w:pStyle w:val="ListBullet"/>
      </w:pPr>
      <w:r>
        <w:t>The extractor reads threaded comments first from xl/threadedComments/*.xml and falls back to legacy comments from xl/comments*.xml.</w:t>
      </w:r>
    </w:p>
    <w:p>
      <w:pPr>
        <w:pStyle w:val="ListBullet"/>
      </w:pPr>
      <w:r>
        <w:t>Multi-pallet rows such as O-8, O-11 are split using the attached pallet comment. If a required breakdown is missing or cannot be parsed, the shipment is blocked before P21Import receipt creation.</w:t>
      </w:r>
    </w:p>
    <w:p>
      <w:pPr>
        <w:pStyle w:val="ListBullet"/>
      </w:pPr>
      <w:r>
        <w:t>The original workbook is preserved unchanged in Blob Storage for audit and replay.</w:t>
      </w:r>
    </w:p>
    <w:p>
      <w:pPr>
        <w:pStyle w:val="Heading1"/>
        <w:keepNext/>
      </w:pPr>
      <w:r>
        <w:t>SQL Staging and Validation</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040"/>
        <w:gridCol w:w="5040"/>
      </w:tblGrid>
      <w:tr>
        <w:trPr>
          <w:tblHeader w:val="true"/>
        </w:trPr>
        <w:tc>
          <w:tcPr>
            <w:tcW w:type="dxa" w:w="3816"/>
            <w:shd w:fill="1F4E79"/>
            <w:tcMar>
              <w:top w:w="80" w:type="dxa"/>
              <w:start w:w="100" w:type="dxa"/>
              <w:bottom w:w="80" w:type="dxa"/>
              <w:end w:w="100" w:type="dxa"/>
            </w:tcMar>
            <w:vAlign w:val="center"/>
          </w:tcPr>
          <w:p>
            <w:pPr>
              <w:jc w:val="center"/>
            </w:pPr>
            <w:r>
              <w:rPr>
                <w:b/>
                <w:i w:val="0"/>
                <w:color w:val="FFFFFF"/>
                <w:sz w:val="17"/>
              </w:rPr>
              <w:t>Object</w:t>
            </w:r>
          </w:p>
        </w:tc>
        <w:tc>
          <w:tcPr>
            <w:tcW w:type="dxa" w:w="5688"/>
            <w:shd w:fill="1F4E79"/>
            <w:tcMar>
              <w:top w:w="80" w:type="dxa"/>
              <w:start w:w="100" w:type="dxa"/>
              <w:bottom w:w="80" w:type="dxa"/>
              <w:end w:w="100" w:type="dxa"/>
            </w:tcMar>
            <w:vAlign w:val="center"/>
          </w:tcPr>
          <w:p>
            <w:pPr>
              <w:jc w:val="center"/>
            </w:pPr>
            <w:r>
              <w:rPr>
                <w:b/>
                <w:i w:val="0"/>
                <w:color w:val="FFFFFF"/>
                <w:sz w:val="17"/>
              </w:rPr>
              <w:t>Purpose</w:t>
            </w:r>
          </w:p>
        </w:tc>
      </w:tr>
      <w:tr>
        <w:tc>
          <w:tcPr>
            <w:tcW w:type="dxa" w:w="3816"/>
            <w:tcMar>
              <w:top w:w="80" w:type="dxa"/>
              <w:start w:w="100" w:type="dxa"/>
              <w:bottom w:w="80" w:type="dxa"/>
              <w:end w:w="100" w:type="dxa"/>
            </w:tcMar>
            <w:vAlign w:val="center"/>
          </w:tcPr>
          <w:p>
            <w:pPr>
              <w:spacing w:after="0"/>
            </w:pPr>
            <w:r>
              <w:rPr>
                <w:sz w:val="17"/>
              </w:rPr>
              <w:t>dbo.coats_mexico_shipment_file</w:t>
            </w:r>
          </w:p>
        </w:tc>
        <w:tc>
          <w:tcPr>
            <w:tcW w:type="dxa" w:w="5688"/>
            <w:tcMar>
              <w:top w:w="80" w:type="dxa"/>
              <w:start w:w="100" w:type="dxa"/>
              <w:bottom w:w="80" w:type="dxa"/>
              <w:end w:w="100" w:type="dxa"/>
            </w:tcMar>
            <w:vAlign w:val="center"/>
          </w:tcPr>
          <w:p>
            <w:pPr>
              <w:spacing w:after="0"/>
            </w:pPr>
            <w:r>
              <w:rPr>
                <w:sz w:val="17"/>
              </w:rPr>
              <w:t>One row per source workbook / SharePoint drive item.</w:t>
            </w:r>
          </w:p>
        </w:tc>
      </w:tr>
      <w:tr>
        <w:tc>
          <w:tcPr>
            <w:tcW w:type="dxa" w:w="3816"/>
            <w:tcMar>
              <w:top w:w="80" w:type="dxa"/>
              <w:start w:w="100" w:type="dxa"/>
              <w:bottom w:w="80" w:type="dxa"/>
              <w:end w:w="100" w:type="dxa"/>
            </w:tcMar>
            <w:vAlign w:val="center"/>
          </w:tcPr>
          <w:p>
            <w:pPr>
              <w:spacing w:after="0"/>
            </w:pPr>
            <w:r>
              <w:rPr>
                <w:sz w:val="17"/>
              </w:rPr>
              <w:t>dbo.coats_mexico_shipment_raw_line</w:t>
            </w:r>
          </w:p>
        </w:tc>
        <w:tc>
          <w:tcPr>
            <w:tcW w:type="dxa" w:w="5688"/>
            <w:tcMar>
              <w:top w:w="80" w:type="dxa"/>
              <w:start w:w="100" w:type="dxa"/>
              <w:bottom w:w="80" w:type="dxa"/>
              <w:end w:w="100" w:type="dxa"/>
            </w:tcMar>
            <w:vAlign w:val="center"/>
          </w:tcPr>
          <w:p>
            <w:pPr>
              <w:spacing w:after="0"/>
            </w:pPr>
            <w:r>
              <w:rPr>
                <w:sz w:val="17"/>
              </w:rPr>
              <w:t>One row per extracted workbook row before pallet splitting.</w:t>
            </w:r>
          </w:p>
        </w:tc>
      </w:tr>
      <w:tr>
        <w:tc>
          <w:tcPr>
            <w:tcW w:type="dxa" w:w="3816"/>
            <w:tcMar>
              <w:top w:w="80" w:type="dxa"/>
              <w:start w:w="100" w:type="dxa"/>
              <w:bottom w:w="80" w:type="dxa"/>
              <w:end w:w="100" w:type="dxa"/>
            </w:tcMar>
            <w:vAlign w:val="center"/>
          </w:tcPr>
          <w:p>
            <w:pPr>
              <w:spacing w:after="0"/>
            </w:pPr>
            <w:r>
              <w:rPr>
                <w:sz w:val="17"/>
              </w:rPr>
              <w:t>dbo.coats_mexico_shipment_pallet_line</w:t>
            </w:r>
          </w:p>
        </w:tc>
        <w:tc>
          <w:tcPr>
            <w:tcW w:type="dxa" w:w="5688"/>
            <w:tcMar>
              <w:top w:w="80" w:type="dxa"/>
              <w:start w:w="100" w:type="dxa"/>
              <w:bottom w:w="80" w:type="dxa"/>
              <w:end w:w="100" w:type="dxa"/>
            </w:tcMar>
            <w:vAlign w:val="center"/>
          </w:tcPr>
          <w:p>
            <w:pPr>
              <w:spacing w:after="0"/>
            </w:pPr>
            <w:r>
              <w:rPr>
                <w:sz w:val="17"/>
              </w:rPr>
              <w:t>Normalized pallet-level rows used for validation and receipt creation.</w:t>
            </w:r>
          </w:p>
        </w:tc>
      </w:tr>
      <w:tr>
        <w:tc>
          <w:tcPr>
            <w:tcW w:type="dxa" w:w="3816"/>
            <w:tcMar>
              <w:top w:w="80" w:type="dxa"/>
              <w:start w:w="100" w:type="dxa"/>
              <w:bottom w:w="80" w:type="dxa"/>
              <w:end w:w="100" w:type="dxa"/>
            </w:tcMar>
            <w:vAlign w:val="center"/>
          </w:tcPr>
          <w:p>
            <w:pPr>
              <w:spacing w:after="0"/>
            </w:pPr>
            <w:r>
              <w:rPr>
                <w:sz w:val="17"/>
              </w:rPr>
              <w:t>dbo.coats_mexico_shipment_validation_issue</w:t>
            </w:r>
          </w:p>
        </w:tc>
        <w:tc>
          <w:tcPr>
            <w:tcW w:type="dxa" w:w="5688"/>
            <w:tcMar>
              <w:top w:w="80" w:type="dxa"/>
              <w:start w:w="100" w:type="dxa"/>
              <w:bottom w:w="80" w:type="dxa"/>
              <w:end w:w="100" w:type="dxa"/>
            </w:tcMar>
            <w:vAlign w:val="center"/>
          </w:tcPr>
          <w:p>
            <w:pPr>
              <w:spacing w:after="0"/>
            </w:pPr>
            <w:r>
              <w:rPr>
                <w:sz w:val="17"/>
              </w:rPr>
              <w:t>Blocking and non-blocking validation issues.</w:t>
            </w:r>
          </w:p>
        </w:tc>
      </w:tr>
      <w:tr>
        <w:tc>
          <w:tcPr>
            <w:tcW w:type="dxa" w:w="3816"/>
            <w:tcMar>
              <w:top w:w="80" w:type="dxa"/>
              <w:start w:w="100" w:type="dxa"/>
              <w:bottom w:w="80" w:type="dxa"/>
              <w:end w:w="100" w:type="dxa"/>
            </w:tcMar>
            <w:vAlign w:val="center"/>
          </w:tcPr>
          <w:p>
            <w:pPr>
              <w:spacing w:after="0"/>
            </w:pPr>
            <w:r>
              <w:rPr>
                <w:sz w:val="17"/>
              </w:rPr>
              <w:t>dbo.coats_mexico_shipment_receipt_build</w:t>
            </w:r>
          </w:p>
        </w:tc>
        <w:tc>
          <w:tcPr>
            <w:tcW w:type="dxa" w:w="5688"/>
            <w:tcMar>
              <w:top w:w="80" w:type="dxa"/>
              <w:start w:w="100" w:type="dxa"/>
              <w:bottom w:w="80" w:type="dxa"/>
              <w:end w:w="100" w:type="dxa"/>
            </w:tcMar>
            <w:vAlign w:val="center"/>
          </w:tcPr>
          <w:p>
            <w:pPr>
              <w:spacing w:after="0"/>
            </w:pPr>
            <w:r>
              <w:rPr>
                <w:sz w:val="17"/>
              </w:rPr>
              <w:t>Generated P21Import receipt identifiers created for a shipment.</w:t>
            </w:r>
          </w:p>
        </w:tc>
      </w:tr>
      <w:tr>
        <w:tc>
          <w:tcPr>
            <w:tcW w:type="dxa" w:w="3816"/>
            <w:tcMar>
              <w:top w:w="80" w:type="dxa"/>
              <w:start w:w="100" w:type="dxa"/>
              <w:bottom w:w="80" w:type="dxa"/>
              <w:end w:w="100" w:type="dxa"/>
            </w:tcMar>
            <w:vAlign w:val="center"/>
          </w:tcPr>
          <w:p>
            <w:pPr>
              <w:spacing w:after="0"/>
            </w:pPr>
            <w:r>
              <w:rPr>
                <w:sz w:val="17"/>
              </w:rPr>
              <w:t>dbo.usp_stage_coats_mexico_shipment_json</w:t>
            </w:r>
          </w:p>
        </w:tc>
        <w:tc>
          <w:tcPr>
            <w:tcW w:type="dxa" w:w="5688"/>
            <w:tcMar>
              <w:top w:w="80" w:type="dxa"/>
              <w:start w:w="100" w:type="dxa"/>
              <w:bottom w:w="80" w:type="dxa"/>
              <w:end w:w="100" w:type="dxa"/>
            </w:tcMar>
            <w:vAlign w:val="center"/>
          </w:tcPr>
          <w:p>
            <w:pPr>
              <w:spacing w:after="0"/>
            </w:pPr>
            <w:r>
              <w:rPr>
                <w:sz w:val="17"/>
              </w:rPr>
              <w:t>Stages extractor JSON into the stable tables.</w:t>
            </w:r>
          </w:p>
        </w:tc>
      </w:tr>
      <w:tr>
        <w:tc>
          <w:tcPr>
            <w:tcW w:type="dxa" w:w="3816"/>
            <w:tcMar>
              <w:top w:w="80" w:type="dxa"/>
              <w:start w:w="100" w:type="dxa"/>
              <w:bottom w:w="80" w:type="dxa"/>
              <w:end w:w="100" w:type="dxa"/>
            </w:tcMar>
            <w:vAlign w:val="center"/>
          </w:tcPr>
          <w:p>
            <w:pPr>
              <w:spacing w:after="0"/>
            </w:pPr>
            <w:r>
              <w:rPr>
                <w:sz w:val="17"/>
              </w:rPr>
              <w:t>dbo.usp_create_coats_mexico_p21import_receipts</w:t>
            </w:r>
          </w:p>
        </w:tc>
        <w:tc>
          <w:tcPr>
            <w:tcW w:type="dxa" w:w="5688"/>
            <w:tcMar>
              <w:top w:w="80" w:type="dxa"/>
              <w:start w:w="100" w:type="dxa"/>
              <w:bottom w:w="80" w:type="dxa"/>
              <w:end w:w="100" w:type="dxa"/>
            </w:tcMar>
            <w:vAlign w:val="center"/>
          </w:tcPr>
          <w:p>
            <w:pPr>
              <w:spacing w:after="0"/>
            </w:pPr>
            <w:r>
              <w:rPr>
                <w:sz w:val="17"/>
              </w:rPr>
              <w:t>Creates the gated P21Import receipt chain after validation passes.</w:t>
            </w:r>
          </w:p>
        </w:tc>
      </w:tr>
    </w:tbl>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040"/>
        <w:gridCol w:w="5040"/>
      </w:tblGrid>
      <w:tr>
        <w:trPr>
          <w:tblHeader w:val="true"/>
        </w:trPr>
        <w:tc>
          <w:tcPr>
            <w:tcW w:type="dxa" w:w="2880"/>
            <w:shd w:fill="1F4E79"/>
            <w:tcMar>
              <w:top w:w="80" w:type="dxa"/>
              <w:start w:w="100" w:type="dxa"/>
              <w:bottom w:w="80" w:type="dxa"/>
              <w:end w:w="100" w:type="dxa"/>
            </w:tcMar>
            <w:vAlign w:val="center"/>
          </w:tcPr>
          <w:p>
            <w:pPr>
              <w:jc w:val="center"/>
            </w:pPr>
            <w:r>
              <w:rPr>
                <w:b/>
                <w:i w:val="0"/>
                <w:color w:val="FFFFFF"/>
                <w:sz w:val="17"/>
              </w:rPr>
              <w:t>Validation category</w:t>
            </w:r>
          </w:p>
        </w:tc>
        <w:tc>
          <w:tcPr>
            <w:tcW w:type="dxa" w:w="6624"/>
            <w:shd w:fill="1F4E79"/>
            <w:tcMar>
              <w:top w:w="80" w:type="dxa"/>
              <w:start w:w="100" w:type="dxa"/>
              <w:bottom w:w="80" w:type="dxa"/>
              <w:end w:w="100" w:type="dxa"/>
            </w:tcMar>
            <w:vAlign w:val="center"/>
          </w:tcPr>
          <w:p>
            <w:pPr>
              <w:jc w:val="center"/>
            </w:pPr>
            <w:r>
              <w:rPr>
                <w:b/>
                <w:i w:val="0"/>
                <w:color w:val="FFFFFF"/>
                <w:sz w:val="17"/>
              </w:rPr>
              <w:t>What is checked</w:t>
            </w:r>
          </w:p>
        </w:tc>
      </w:tr>
      <w:tr>
        <w:tc>
          <w:tcPr>
            <w:tcW w:type="dxa" w:w="2880"/>
            <w:tcMar>
              <w:top w:w="80" w:type="dxa"/>
              <w:start w:w="100" w:type="dxa"/>
              <w:bottom w:w="80" w:type="dxa"/>
              <w:end w:w="100" w:type="dxa"/>
            </w:tcMar>
            <w:vAlign w:val="center"/>
          </w:tcPr>
          <w:p>
            <w:pPr>
              <w:spacing w:after="0"/>
            </w:pPr>
            <w:r>
              <w:rPr>
                <w:sz w:val="17"/>
              </w:rPr>
              <w:t>Workbook structure</w:t>
            </w:r>
          </w:p>
        </w:tc>
        <w:tc>
          <w:tcPr>
            <w:tcW w:type="dxa" w:w="6624"/>
            <w:tcMar>
              <w:top w:w="80" w:type="dxa"/>
              <w:start w:w="100" w:type="dxa"/>
              <w:bottom w:w="80" w:type="dxa"/>
              <w:end w:w="100" w:type="dxa"/>
            </w:tcMar>
            <w:vAlign w:val="center"/>
          </w:tcPr>
          <w:p>
            <w:pPr>
              <w:spacing w:after="0"/>
            </w:pPr>
            <w:r>
              <w:rPr>
                <w:sz w:val="17"/>
              </w:rPr>
              <w:t>Required sheet, headers, row values, quantity parsing, and pallet comment parsing.</w:t>
            </w:r>
          </w:p>
        </w:tc>
      </w:tr>
      <w:tr>
        <w:tc>
          <w:tcPr>
            <w:tcW w:type="dxa" w:w="2880"/>
            <w:tcMar>
              <w:top w:w="80" w:type="dxa"/>
              <w:start w:w="100" w:type="dxa"/>
              <w:bottom w:w="80" w:type="dxa"/>
              <w:end w:w="100" w:type="dxa"/>
            </w:tcMar>
            <w:vAlign w:val="center"/>
          </w:tcPr>
          <w:p>
            <w:pPr>
              <w:spacing w:after="0"/>
            </w:pPr>
            <w:r>
              <w:rPr>
                <w:sz w:val="17"/>
              </w:rPr>
              <w:t>Supplier/item setup</w:t>
            </w:r>
          </w:p>
        </w:tc>
        <w:tc>
          <w:tcPr>
            <w:tcW w:type="dxa" w:w="6624"/>
            <w:tcMar>
              <w:top w:w="80" w:type="dxa"/>
              <w:start w:w="100" w:type="dxa"/>
              <w:bottom w:w="80" w:type="dxa"/>
              <w:end w:w="100" w:type="dxa"/>
            </w:tcMar>
            <w:vAlign w:val="center"/>
          </w:tcPr>
          <w:p>
            <w:pPr>
              <w:spacing w:after="0"/>
            </w:pPr>
            <w:r>
              <w:rPr>
                <w:sz w:val="17"/>
              </w:rPr>
              <w:t>Supplier 40408 item mapping, missing mappings, and duplicate supplier part mappings.</w:t>
            </w:r>
          </w:p>
        </w:tc>
      </w:tr>
      <w:tr>
        <w:tc>
          <w:tcPr>
            <w:tcW w:type="dxa" w:w="2880"/>
            <w:tcMar>
              <w:top w:w="80" w:type="dxa"/>
              <w:start w:w="100" w:type="dxa"/>
              <w:bottom w:w="80" w:type="dxa"/>
              <w:end w:w="100" w:type="dxa"/>
            </w:tcMar>
            <w:vAlign w:val="center"/>
          </w:tcPr>
          <w:p>
            <w:pPr>
              <w:spacing w:after="0"/>
            </w:pPr>
            <w:r>
              <w:rPr>
                <w:sz w:val="17"/>
              </w:rPr>
              <w:t>Purchase order setup</w:t>
            </w:r>
          </w:p>
        </w:tc>
        <w:tc>
          <w:tcPr>
            <w:tcW w:type="dxa" w:w="6624"/>
            <w:tcMar>
              <w:top w:w="80" w:type="dxa"/>
              <w:start w:w="100" w:type="dxa"/>
              <w:bottom w:w="80" w:type="dxa"/>
              <w:end w:w="100" w:type="dxa"/>
            </w:tcMar>
            <w:vAlign w:val="center"/>
          </w:tcPr>
          <w:p>
            <w:pPr>
              <w:spacing w:after="0"/>
            </w:pPr>
            <w:r>
              <w:rPr>
                <w:sz w:val="17"/>
              </w:rPr>
              <w:t>PO line exists for the parsed PO/item and is not canceled.</w:t>
            </w:r>
          </w:p>
        </w:tc>
      </w:tr>
      <w:tr>
        <w:tc>
          <w:tcPr>
            <w:tcW w:type="dxa" w:w="2880"/>
            <w:tcMar>
              <w:top w:w="80" w:type="dxa"/>
              <w:start w:w="100" w:type="dxa"/>
              <w:bottom w:w="80" w:type="dxa"/>
              <w:end w:w="100" w:type="dxa"/>
            </w:tcMar>
            <w:vAlign w:val="center"/>
          </w:tcPr>
          <w:p>
            <w:pPr>
              <w:spacing w:after="0"/>
            </w:pPr>
            <w:r>
              <w:rPr>
                <w:sz w:val="17"/>
              </w:rPr>
              <w:t>Bin validation</w:t>
            </w:r>
          </w:p>
        </w:tc>
        <w:tc>
          <w:tcPr>
            <w:tcW w:type="dxa" w:w="6624"/>
            <w:tcMar>
              <w:top w:w="80" w:type="dxa"/>
              <w:start w:w="100" w:type="dxa"/>
              <w:bottom w:w="80" w:type="dxa"/>
              <w:end w:w="100" w:type="dxa"/>
            </w:tcMar>
            <w:vAlign w:val="center"/>
          </w:tcPr>
          <w:p>
            <w:pPr>
              <w:spacing w:after="0"/>
            </w:pPr>
            <w:r>
              <w:rPr>
                <w:sz w:val="17"/>
              </w:rPr>
              <w:t>Invalid or unmapped bin IDs are flagged as internal pipeline issues.</w:t>
            </w:r>
          </w:p>
        </w:tc>
      </w:tr>
      <w:tr>
        <w:tc>
          <w:tcPr>
            <w:tcW w:type="dxa" w:w="2880"/>
            <w:tcMar>
              <w:top w:w="80" w:type="dxa"/>
              <w:start w:w="100" w:type="dxa"/>
              <w:bottom w:w="80" w:type="dxa"/>
              <w:end w:w="100" w:type="dxa"/>
            </w:tcMar>
            <w:vAlign w:val="center"/>
          </w:tcPr>
          <w:p>
            <w:pPr>
              <w:spacing w:after="0"/>
            </w:pPr>
            <w:r>
              <w:rPr>
                <w:sz w:val="17"/>
              </w:rPr>
              <w:t>Receipt safety</w:t>
            </w:r>
          </w:p>
        </w:tc>
        <w:tc>
          <w:tcPr>
            <w:tcW w:type="dxa" w:w="6624"/>
            <w:tcMar>
              <w:top w:w="80" w:type="dxa"/>
              <w:start w:w="100" w:type="dxa"/>
              <w:bottom w:w="80" w:type="dxa"/>
              <w:end w:w="100" w:type="dxa"/>
            </w:tcMar>
            <w:vAlign w:val="center"/>
          </w:tcPr>
          <w:p>
            <w:pPr>
              <w:spacing w:after="0"/>
            </w:pPr>
            <w:r>
              <w:rPr>
                <w:sz w:val="17"/>
              </w:rPr>
              <w:t>Any BLOCKING issue prevents P21Import receipt creation.</w:t>
            </w:r>
          </w:p>
        </w:tc>
      </w:tr>
    </w:tbl>
    <w:p/>
    <w:p>
      <w:pPr>
        <w:pStyle w:val="Heading1"/>
        <w:keepNext/>
      </w:pPr>
      <w:r>
        <w:t>P21Import Receipt Creation</w:t>
      </w:r>
    </w:p>
    <w:p>
      <w:r>
        <w:t>On a clean validation result, the procedure creates records in P21Import only. It does not directly update production P21 tables outside the intended P21Import flow, and the container receipt header is left Unapproved for business review.</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040"/>
        <w:gridCol w:w="5040"/>
      </w:tblGrid>
      <w:tr>
        <w:trPr>
          <w:tblHeader w:val="true"/>
        </w:trPr>
        <w:tc>
          <w:tcPr>
            <w:tcW w:type="dxa" w:w="3168"/>
            <w:shd w:fill="1F4E79"/>
            <w:tcMar>
              <w:top w:w="80" w:type="dxa"/>
              <w:start w:w="100" w:type="dxa"/>
              <w:bottom w:w="80" w:type="dxa"/>
              <w:end w:w="100" w:type="dxa"/>
            </w:tcMar>
            <w:vAlign w:val="center"/>
          </w:tcPr>
          <w:p>
            <w:pPr>
              <w:jc w:val="center"/>
            </w:pPr>
            <w:r>
              <w:rPr>
                <w:b/>
                <w:i w:val="0"/>
                <w:color w:val="FFFFFF"/>
                <w:sz w:val="17"/>
              </w:rPr>
              <w:t>Created object</w:t>
            </w:r>
          </w:p>
        </w:tc>
        <w:tc>
          <w:tcPr>
            <w:tcW w:type="dxa" w:w="6336"/>
            <w:shd w:fill="1F4E79"/>
            <w:tcMar>
              <w:top w:w="80" w:type="dxa"/>
              <w:start w:w="100" w:type="dxa"/>
              <w:bottom w:w="80" w:type="dxa"/>
              <w:end w:w="100" w:type="dxa"/>
            </w:tcMar>
            <w:vAlign w:val="center"/>
          </w:tcPr>
          <w:p>
            <w:pPr>
              <w:jc w:val="center"/>
            </w:pPr>
            <w:r>
              <w:rPr>
                <w:b/>
                <w:i w:val="0"/>
                <w:color w:val="FFFFFF"/>
                <w:sz w:val="17"/>
              </w:rPr>
              <w:t>Notes</w:t>
            </w:r>
          </w:p>
        </w:tc>
      </w:tr>
      <w:tr>
        <w:tc>
          <w:tcPr>
            <w:tcW w:type="dxa" w:w="3168"/>
            <w:tcMar>
              <w:top w:w="80" w:type="dxa"/>
              <w:start w:w="100" w:type="dxa"/>
              <w:bottom w:w="80" w:type="dxa"/>
              <w:end w:w="100" w:type="dxa"/>
            </w:tcMar>
            <w:vAlign w:val="center"/>
          </w:tcPr>
          <w:p>
            <w:pPr>
              <w:spacing w:after="0"/>
            </w:pPr>
            <w:r>
              <w:rPr>
                <w:sz w:val="17"/>
              </w:rPr>
              <w:t>container_building</w:t>
            </w:r>
          </w:p>
        </w:tc>
        <w:tc>
          <w:tcPr>
            <w:tcW w:type="dxa" w:w="6336"/>
            <w:tcMar>
              <w:top w:w="80" w:type="dxa"/>
              <w:start w:w="100" w:type="dxa"/>
              <w:bottom w:w="80" w:type="dxa"/>
              <w:end w:w="100" w:type="dxa"/>
            </w:tcMar>
            <w:vAlign w:val="center"/>
          </w:tcPr>
          <w:p>
            <w:pPr>
              <w:spacing w:after="0"/>
            </w:pPr>
            <w:r>
              <w:rPr>
                <w:sz w:val="17"/>
              </w:rPr>
              <w:t>Uses trailer name as the container name and location 210.</w:t>
            </w:r>
          </w:p>
        </w:tc>
      </w:tr>
      <w:tr>
        <w:tc>
          <w:tcPr>
            <w:tcW w:type="dxa" w:w="3168"/>
            <w:tcMar>
              <w:top w:w="80" w:type="dxa"/>
              <w:start w:w="100" w:type="dxa"/>
              <w:bottom w:w="80" w:type="dxa"/>
              <w:end w:w="100" w:type="dxa"/>
            </w:tcMar>
            <w:vAlign w:val="center"/>
          </w:tcPr>
          <w:p>
            <w:pPr>
              <w:spacing w:after="0"/>
            </w:pPr>
            <w:r>
              <w:rPr>
                <w:sz w:val="17"/>
              </w:rPr>
              <w:t>container_building_po</w:t>
            </w:r>
          </w:p>
        </w:tc>
        <w:tc>
          <w:tcPr>
            <w:tcW w:type="dxa" w:w="6336"/>
            <w:tcMar>
              <w:top w:w="80" w:type="dxa"/>
              <w:start w:w="100" w:type="dxa"/>
              <w:bottom w:w="80" w:type="dxa"/>
              <w:end w:w="100" w:type="dxa"/>
            </w:tcMar>
            <w:vAlign w:val="center"/>
          </w:tcPr>
          <w:p>
            <w:pPr>
              <w:spacing w:after="0"/>
            </w:pPr>
            <w:r>
              <w:rPr>
                <w:sz w:val="17"/>
              </w:rPr>
              <w:t>Links the container build to PO information.</w:t>
            </w:r>
          </w:p>
        </w:tc>
      </w:tr>
      <w:tr>
        <w:tc>
          <w:tcPr>
            <w:tcW w:type="dxa" w:w="3168"/>
            <w:tcMar>
              <w:top w:w="80" w:type="dxa"/>
              <w:start w:w="100" w:type="dxa"/>
              <w:bottom w:w="80" w:type="dxa"/>
              <w:end w:w="100" w:type="dxa"/>
            </w:tcMar>
            <w:vAlign w:val="center"/>
          </w:tcPr>
          <w:p>
            <w:pPr>
              <w:spacing w:after="0"/>
            </w:pPr>
            <w:r>
              <w:rPr>
                <w:sz w:val="17"/>
              </w:rPr>
              <w:t>vessel_receipts_hdr</w:t>
            </w:r>
          </w:p>
        </w:tc>
        <w:tc>
          <w:tcPr>
            <w:tcW w:type="dxa" w:w="6336"/>
            <w:tcMar>
              <w:top w:w="80" w:type="dxa"/>
              <w:start w:w="100" w:type="dxa"/>
              <w:bottom w:w="80" w:type="dxa"/>
              <w:end w:w="100" w:type="dxa"/>
            </w:tcMar>
            <w:vAlign w:val="center"/>
          </w:tcPr>
          <w:p>
            <w:pPr>
              <w:spacing w:after="0"/>
            </w:pPr>
            <w:r>
              <w:rPr>
                <w:sz w:val="17"/>
              </w:rPr>
              <w:t>Uses trailer name as vessel name and shipment date as departure date.</w:t>
            </w:r>
          </w:p>
        </w:tc>
      </w:tr>
      <w:tr>
        <w:tc>
          <w:tcPr>
            <w:tcW w:type="dxa" w:w="3168"/>
            <w:tcMar>
              <w:top w:w="80" w:type="dxa"/>
              <w:start w:w="100" w:type="dxa"/>
              <w:bottom w:w="80" w:type="dxa"/>
              <w:end w:w="100" w:type="dxa"/>
            </w:tcMar>
            <w:vAlign w:val="center"/>
          </w:tcPr>
          <w:p>
            <w:pPr>
              <w:spacing w:after="0"/>
            </w:pPr>
            <w:r>
              <w:rPr>
                <w:sz w:val="17"/>
              </w:rPr>
              <w:t>vessel_receipts_container</w:t>
            </w:r>
          </w:p>
        </w:tc>
        <w:tc>
          <w:tcPr>
            <w:tcW w:type="dxa" w:w="6336"/>
            <w:tcMar>
              <w:top w:w="80" w:type="dxa"/>
              <w:start w:w="100" w:type="dxa"/>
              <w:bottom w:w="80" w:type="dxa"/>
              <w:end w:w="100" w:type="dxa"/>
            </w:tcMar>
            <w:vAlign w:val="center"/>
          </w:tcPr>
          <w:p>
            <w:pPr>
              <w:spacing w:after="0"/>
            </w:pPr>
            <w:r>
              <w:rPr>
                <w:sz w:val="17"/>
              </w:rPr>
              <w:t>Connects vessel receipt to the container build and estimated arrival date.</w:t>
            </w:r>
          </w:p>
        </w:tc>
      </w:tr>
      <w:tr>
        <w:tc>
          <w:tcPr>
            <w:tcW w:type="dxa" w:w="3168"/>
            <w:tcMar>
              <w:top w:w="80" w:type="dxa"/>
              <w:start w:w="100" w:type="dxa"/>
              <w:bottom w:w="80" w:type="dxa"/>
              <w:end w:w="100" w:type="dxa"/>
            </w:tcMar>
            <w:vAlign w:val="center"/>
          </w:tcPr>
          <w:p>
            <w:pPr>
              <w:spacing w:after="0"/>
            </w:pPr>
            <w:r>
              <w:rPr>
                <w:sz w:val="17"/>
              </w:rPr>
              <w:t>vessel_receipts_line</w:t>
            </w:r>
          </w:p>
        </w:tc>
        <w:tc>
          <w:tcPr>
            <w:tcW w:type="dxa" w:w="6336"/>
            <w:tcMar>
              <w:top w:w="80" w:type="dxa"/>
              <w:start w:w="100" w:type="dxa"/>
              <w:bottom w:w="80" w:type="dxa"/>
              <w:end w:w="100" w:type="dxa"/>
            </w:tcMar>
            <w:vAlign w:val="center"/>
          </w:tcPr>
          <w:p>
            <w:pPr>
              <w:spacing w:after="0"/>
            </w:pPr>
            <w:r>
              <w:rPr>
                <w:sz w:val="17"/>
              </w:rPr>
              <w:t>Creates receipt line detail from validated pallet lines.</w:t>
            </w:r>
          </w:p>
        </w:tc>
      </w:tr>
      <w:tr>
        <w:tc>
          <w:tcPr>
            <w:tcW w:type="dxa" w:w="3168"/>
            <w:tcMar>
              <w:top w:w="80" w:type="dxa"/>
              <w:start w:w="100" w:type="dxa"/>
              <w:bottom w:w="80" w:type="dxa"/>
              <w:end w:w="100" w:type="dxa"/>
            </w:tcMar>
            <w:vAlign w:val="center"/>
          </w:tcPr>
          <w:p>
            <w:pPr>
              <w:spacing w:after="0"/>
            </w:pPr>
            <w:r>
              <w:rPr>
                <w:sz w:val="17"/>
              </w:rPr>
              <w:t>container_receipts_hdr</w:t>
            </w:r>
          </w:p>
        </w:tc>
        <w:tc>
          <w:tcPr>
            <w:tcW w:type="dxa" w:w="6336"/>
            <w:tcMar>
              <w:top w:w="80" w:type="dxa"/>
              <w:start w:w="100" w:type="dxa"/>
              <w:bottom w:w="80" w:type="dxa"/>
              <w:end w:w="100" w:type="dxa"/>
            </w:tcMar>
            <w:vAlign w:val="center"/>
          </w:tcPr>
          <w:p>
            <w:pPr>
              <w:spacing w:after="0"/>
            </w:pPr>
            <w:r>
              <w:rPr>
                <w:sz w:val="17"/>
              </w:rPr>
              <w:t>Created with row_status_flag = 971 so it remains Unapproved in the P21 GUI.</w:t>
            </w:r>
          </w:p>
        </w:tc>
      </w:tr>
      <w:tr>
        <w:tc>
          <w:tcPr>
            <w:tcW w:type="dxa" w:w="3168"/>
            <w:tcMar>
              <w:top w:w="80" w:type="dxa"/>
              <w:start w:w="100" w:type="dxa"/>
              <w:bottom w:w="80" w:type="dxa"/>
              <w:end w:w="100" w:type="dxa"/>
            </w:tcMar>
            <w:vAlign w:val="center"/>
          </w:tcPr>
          <w:p>
            <w:pPr>
              <w:spacing w:after="0"/>
            </w:pPr>
            <w:r>
              <w:rPr>
                <w:sz w:val="17"/>
              </w:rPr>
              <w:t>container_receipts_line</w:t>
            </w:r>
          </w:p>
        </w:tc>
        <w:tc>
          <w:tcPr>
            <w:tcW w:type="dxa" w:w="6336"/>
            <w:tcMar>
              <w:top w:w="80" w:type="dxa"/>
              <w:start w:w="100" w:type="dxa"/>
              <w:bottom w:w="80" w:type="dxa"/>
              <w:end w:w="100" w:type="dxa"/>
            </w:tcMar>
            <w:vAlign w:val="center"/>
          </w:tcPr>
          <w:p>
            <w:pPr>
              <w:spacing w:after="0"/>
            </w:pPr>
            <w:r>
              <w:rPr>
                <w:sz w:val="17"/>
              </w:rPr>
              <w:t>Creates receipt lines. document_line_bin insertion is intentionally skipped.</w:t>
            </w:r>
          </w:p>
        </w:tc>
      </w:tr>
    </w:tbl>
    <w:p/>
    <w:p>
      <w:pPr>
        <w:pStyle w:val="Heading1"/>
        <w:keepNext/>
      </w:pPr>
      <w:r>
        <w:t>Day-to-Day Operating Instructions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60"/>
        <w:gridCol w:w="3360"/>
        <w:gridCol w:w="3360"/>
      </w:tblGrid>
      <w:tr>
        <w:trPr>
          <w:tblHeader w:val="true"/>
        </w:trPr>
        <w:tc>
          <w:tcPr>
            <w:tcW w:type="dxa" w:w="2232"/>
            <w:shd w:fill="1F4E79"/>
            <w:tcMar>
              <w:top w:w="80" w:type="dxa"/>
              <w:start w:w="100" w:type="dxa"/>
              <w:bottom w:w="80" w:type="dxa"/>
              <w:end w:w="100" w:type="dxa"/>
            </w:tcMar>
            <w:vAlign w:val="center"/>
          </w:tcPr>
          <w:p>
            <w:pPr>
              <w:jc w:val="center"/>
            </w:pPr>
            <w:r>
              <w:rPr>
                <w:b/>
                <w:i w:val="0"/>
                <w:color w:val="FFFFFF"/>
                <w:sz w:val="17"/>
              </w:rPr>
              <w:t>Scenario</w:t>
            </w:r>
          </w:p>
        </w:tc>
        <w:tc>
          <w:tcPr>
            <w:tcW w:type="dxa" w:w="3528"/>
            <w:shd w:fill="1F4E79"/>
            <w:tcMar>
              <w:top w:w="80" w:type="dxa"/>
              <w:start w:w="100" w:type="dxa"/>
              <w:bottom w:w="80" w:type="dxa"/>
              <w:end w:w="100" w:type="dxa"/>
            </w:tcMar>
            <w:vAlign w:val="center"/>
          </w:tcPr>
          <w:p>
            <w:pPr>
              <w:jc w:val="center"/>
            </w:pPr>
            <w:r>
              <w:rPr>
                <w:b/>
                <w:i w:val="0"/>
                <w:color w:val="FFFFFF"/>
                <w:sz w:val="17"/>
              </w:rPr>
              <w:t>What the manager should do</w:t>
            </w:r>
          </w:p>
        </w:tc>
        <w:tc>
          <w:tcPr>
            <w:tcW w:type="dxa" w:w="3744"/>
            <w:shd w:fill="1F4E79"/>
            <w:tcMar>
              <w:top w:w="80" w:type="dxa"/>
              <w:start w:w="100" w:type="dxa"/>
              <w:bottom w:w="80" w:type="dxa"/>
              <w:end w:w="100" w:type="dxa"/>
            </w:tcMar>
            <w:vAlign w:val="center"/>
          </w:tcPr>
          <w:p>
            <w:pPr>
              <w:jc w:val="center"/>
            </w:pPr>
            <w:r>
              <w:rPr>
                <w:b/>
                <w:i w:val="0"/>
                <w:color w:val="FFFFFF"/>
                <w:sz w:val="17"/>
              </w:rPr>
              <w:t>What IT may need to do</w:t>
            </w:r>
          </w:p>
        </w:tc>
      </w:tr>
      <w:tr>
        <w:tc>
          <w:tcPr>
            <w:tcW w:type="dxa" w:w="2232"/>
            <w:tcMar>
              <w:top w:w="80" w:type="dxa"/>
              <w:start w:w="100" w:type="dxa"/>
              <w:bottom w:w="80" w:type="dxa"/>
              <w:end w:w="100" w:type="dxa"/>
            </w:tcMar>
            <w:vAlign w:val="center"/>
          </w:tcPr>
          <w:p>
            <w:pPr>
              <w:spacing w:after="0"/>
            </w:pPr>
            <w:r>
              <w:rPr>
                <w:sz w:val="17"/>
              </w:rPr>
              <w:t>Normal successful import</w:t>
            </w:r>
          </w:p>
        </w:tc>
        <w:tc>
          <w:tcPr>
            <w:tcW w:type="dxa" w:w="3528"/>
            <w:tcMar>
              <w:top w:w="80" w:type="dxa"/>
              <w:start w:w="100" w:type="dxa"/>
              <w:bottom w:w="80" w:type="dxa"/>
              <w:end w:w="100" w:type="dxa"/>
            </w:tcMar>
            <w:vAlign w:val="center"/>
          </w:tcPr>
          <w:p>
            <w:pPr>
              <w:spacing w:after="0"/>
            </w:pPr>
            <w:r>
              <w:rPr>
                <w:sz w:val="17"/>
              </w:rPr>
              <w:t>Keep the success email for the shipment record; verify the unapproved receipt in P21 if that is part of the business process.</w:t>
            </w:r>
          </w:p>
        </w:tc>
        <w:tc>
          <w:tcPr>
            <w:tcW w:type="dxa" w:w="3744"/>
            <w:tcMar>
              <w:top w:w="80" w:type="dxa"/>
              <w:start w:w="100" w:type="dxa"/>
              <w:bottom w:w="80" w:type="dxa"/>
              <w:end w:w="100" w:type="dxa"/>
            </w:tcMar>
            <w:vAlign w:val="center"/>
          </w:tcPr>
          <w:p>
            <w:pPr>
              <w:spacing w:after="0"/>
            </w:pPr>
            <w:r>
              <w:rPr>
                <w:sz w:val="17"/>
              </w:rPr>
              <w:t>No action unless a downstream P21 review step finds a mismatch.</w:t>
            </w:r>
          </w:p>
        </w:tc>
      </w:tr>
      <w:tr>
        <w:tc>
          <w:tcPr>
            <w:tcW w:type="dxa" w:w="2232"/>
            <w:tcMar>
              <w:top w:w="80" w:type="dxa"/>
              <w:start w:w="100" w:type="dxa"/>
              <w:bottom w:w="80" w:type="dxa"/>
              <w:end w:w="100" w:type="dxa"/>
            </w:tcMar>
            <w:vAlign w:val="center"/>
          </w:tcPr>
          <w:p>
            <w:pPr>
              <w:spacing w:after="0"/>
            </w:pPr>
            <w:r>
              <w:rPr>
                <w:sz w:val="17"/>
              </w:rPr>
              <w:t>Validation failure email</w:t>
            </w:r>
          </w:p>
        </w:tc>
        <w:tc>
          <w:tcPr>
            <w:tcW w:type="dxa" w:w="3528"/>
            <w:tcMar>
              <w:top w:w="80" w:type="dxa"/>
              <w:start w:w="100" w:type="dxa"/>
              <w:bottom w:w="80" w:type="dxa"/>
              <w:end w:w="100" w:type="dxa"/>
            </w:tcMar>
            <w:vAlign w:val="center"/>
          </w:tcPr>
          <w:p>
            <w:pPr>
              <w:spacing w:after="0"/>
            </w:pPr>
            <w:r>
              <w:rPr>
                <w:sz w:val="17"/>
              </w:rPr>
              <w:t>Forward the email to the responsible buyer/vendor owner and correct the workbook or source PO/item setup.</w:t>
            </w:r>
          </w:p>
        </w:tc>
        <w:tc>
          <w:tcPr>
            <w:tcW w:type="dxa" w:w="3744"/>
            <w:tcMar>
              <w:top w:w="80" w:type="dxa"/>
              <w:start w:w="100" w:type="dxa"/>
              <w:bottom w:w="80" w:type="dxa"/>
              <w:end w:w="100" w:type="dxa"/>
            </w:tcMar>
            <w:vAlign w:val="center"/>
          </w:tcPr>
          <w:p>
            <w:pPr>
              <w:spacing w:after="0"/>
            </w:pPr>
            <w:r>
              <w:rPr>
                <w:sz w:val="17"/>
              </w:rPr>
              <w:t>Use ADF activity output and SQL validation tables if the email is not enough.</w:t>
            </w:r>
          </w:p>
        </w:tc>
      </w:tr>
      <w:tr>
        <w:tc>
          <w:tcPr>
            <w:tcW w:type="dxa" w:w="2232"/>
            <w:tcMar>
              <w:top w:w="80" w:type="dxa"/>
              <w:start w:w="100" w:type="dxa"/>
              <w:bottom w:w="80" w:type="dxa"/>
              <w:end w:w="100" w:type="dxa"/>
            </w:tcMar>
            <w:vAlign w:val="center"/>
          </w:tcPr>
          <w:p>
            <w:pPr>
              <w:spacing w:after="0"/>
            </w:pPr>
            <w:r>
              <w:rPr>
                <w:sz w:val="17"/>
              </w:rPr>
              <w:t>No email after upload</w:t>
            </w:r>
          </w:p>
        </w:tc>
        <w:tc>
          <w:tcPr>
            <w:tcW w:type="dxa" w:w="3528"/>
            <w:tcMar>
              <w:top w:w="80" w:type="dxa"/>
              <w:start w:w="100" w:type="dxa"/>
              <w:bottom w:w="80" w:type="dxa"/>
              <w:end w:w="100" w:type="dxa"/>
            </w:tcMar>
            <w:vAlign w:val="center"/>
          </w:tcPr>
          <w:p>
            <w:pPr>
              <w:spacing w:after="0"/>
            </w:pPr>
            <w:r>
              <w:rPr>
                <w:sz w:val="17"/>
              </w:rPr>
              <w:t>Confirm the file is .xlsx, not open in Excel, not named with ~$ prefix, and is in the exact SharePoint folder.</w:t>
            </w:r>
          </w:p>
        </w:tc>
        <w:tc>
          <w:tcPr>
            <w:tcW w:type="dxa" w:w="3744"/>
            <w:tcMar>
              <w:top w:w="80" w:type="dxa"/>
              <w:start w:w="100" w:type="dxa"/>
              <w:bottom w:w="80" w:type="dxa"/>
              <w:end w:w="100" w:type="dxa"/>
            </w:tcMar>
            <w:vAlign w:val="center"/>
          </w:tcPr>
          <w:p>
            <w:pPr>
              <w:spacing w:after="0"/>
            </w:pPr>
            <w:r>
              <w:rPr>
                <w:sz w:val="17"/>
              </w:rPr>
              <w:t>Check Function logs, ADF pipeline runs, Graph subscription expiration, and app settings.</w:t>
            </w:r>
          </w:p>
        </w:tc>
      </w:tr>
      <w:tr>
        <w:tc>
          <w:tcPr>
            <w:tcW w:type="dxa" w:w="2232"/>
            <w:tcMar>
              <w:top w:w="80" w:type="dxa"/>
              <w:start w:w="100" w:type="dxa"/>
              <w:bottom w:w="80" w:type="dxa"/>
              <w:end w:w="100" w:type="dxa"/>
            </w:tcMar>
            <w:vAlign w:val="center"/>
          </w:tcPr>
          <w:p>
            <w:pPr>
              <w:spacing w:after="0"/>
            </w:pPr>
            <w:r>
              <w:rPr>
                <w:sz w:val="17"/>
              </w:rPr>
              <w:t>Duplicate upload/version</w:t>
            </w:r>
          </w:p>
        </w:tc>
        <w:tc>
          <w:tcPr>
            <w:tcW w:type="dxa" w:w="3528"/>
            <w:tcMar>
              <w:top w:w="80" w:type="dxa"/>
              <w:start w:w="100" w:type="dxa"/>
              <w:bottom w:w="80" w:type="dxa"/>
              <w:end w:w="100" w:type="dxa"/>
            </w:tcMar>
            <w:vAlign w:val="center"/>
          </w:tcPr>
          <w:p>
            <w:pPr>
              <w:spacing w:after="0"/>
            </w:pPr>
            <w:r>
              <w:rPr>
                <w:sz w:val="17"/>
              </w:rPr>
              <w:t>Re-uploading the same file may not always reprocess the same item version because event claims prevent duplicate processing.</w:t>
            </w:r>
          </w:p>
        </w:tc>
        <w:tc>
          <w:tcPr>
            <w:tcW w:type="dxa" w:w="3744"/>
            <w:tcMar>
              <w:top w:w="80" w:type="dxa"/>
              <w:start w:w="100" w:type="dxa"/>
              <w:bottom w:w="80" w:type="dxa"/>
              <w:end w:w="100" w:type="dxa"/>
            </w:tcMar>
            <w:vAlign w:val="center"/>
          </w:tcPr>
          <w:p>
            <w:pPr>
              <w:spacing w:after="0"/>
            </w:pPr>
            <w:r>
              <w:rPr>
                <w:sz w:val="17"/>
              </w:rPr>
              <w:t>Rename/re-upload a corrected workbook or clear the specific event claim only after understanding the impact.</w:t>
            </w:r>
          </w:p>
        </w:tc>
      </w:tr>
      <w:tr>
        <w:tc>
          <w:tcPr>
            <w:tcW w:type="dxa" w:w="2232"/>
            <w:tcMar>
              <w:top w:w="80" w:type="dxa"/>
              <w:start w:w="100" w:type="dxa"/>
              <w:bottom w:w="80" w:type="dxa"/>
              <w:end w:w="100" w:type="dxa"/>
            </w:tcMar>
            <w:vAlign w:val="center"/>
          </w:tcPr>
          <w:p>
            <w:pPr>
              <w:spacing w:after="0"/>
            </w:pPr>
            <w:r>
              <w:rPr>
                <w:sz w:val="17"/>
              </w:rPr>
              <w:t>Need to replay</w:t>
            </w:r>
          </w:p>
        </w:tc>
        <w:tc>
          <w:tcPr>
            <w:tcW w:type="dxa" w:w="3528"/>
            <w:tcMar>
              <w:top w:w="80" w:type="dxa"/>
              <w:start w:w="100" w:type="dxa"/>
              <w:bottom w:w="80" w:type="dxa"/>
              <w:end w:w="100" w:type="dxa"/>
            </w:tcMar>
            <w:vAlign w:val="center"/>
          </w:tcPr>
          <w:p>
            <w:pPr>
              <w:spacing w:after="0"/>
            </w:pPr>
            <w:r>
              <w:rPr>
                <w:sz w:val="17"/>
              </w:rPr>
              <w:t>Ask IT to replay from the SharePoint item or raw Blob copy.</w:t>
            </w:r>
          </w:p>
        </w:tc>
        <w:tc>
          <w:tcPr>
            <w:tcW w:type="dxa" w:w="3744"/>
            <w:tcMar>
              <w:top w:w="80" w:type="dxa"/>
              <w:start w:w="100" w:type="dxa"/>
              <w:bottom w:w="80" w:type="dxa"/>
              <w:end w:w="100" w:type="dxa"/>
            </w:tcMar>
            <w:vAlign w:val="center"/>
          </w:tcPr>
          <w:p>
            <w:pPr>
              <w:spacing w:after="0"/>
            </w:pPr>
            <w:r>
              <w:rPr>
                <w:sz w:val="17"/>
              </w:rPr>
              <w:t>Start ADF manually with the SharePoint drive item ID, or run extractor/staging manually in a controlled maintenance window.</w:t>
            </w:r>
          </w:p>
        </w:tc>
      </w:tr>
    </w:tbl>
    <w:p/>
    <w:p>
      <w:pPr>
        <w:pStyle w:val="Heading1"/>
        <w:keepNext/>
      </w:pPr>
      <w:r>
        <w:t>Monitoring and Troubleshooting</w:t>
      </w:r>
    </w:p>
    <w:p>
      <w:pPr>
        <w:pStyle w:val="ListBullet"/>
      </w:pPr>
      <w:r>
        <w:t>Start in Azure Data Factory Monitor for the pipeline Coats_Mexico_Shipment_Stage_And_Validate.</w:t>
      </w:r>
    </w:p>
    <w:p>
      <w:pPr>
        <w:pStyle w:val="ListBullet"/>
      </w:pPr>
      <w:r>
        <w:t>Open the failed run and inspect the first failed activity. ProcessCoatsWorkbook failures usually mean SharePoint/download/extraction issues. Stage or Validate failures usually mean SQL or data shape issues. IfBlockingValidationIssues failures usually mean the run intentionally stopped because data corrections are needed.</w:t>
      </w:r>
    </w:p>
    <w:p>
      <w:pPr>
        <w:pStyle w:val="ListBullet"/>
      </w:pPr>
      <w:r>
        <w:t>Check Azure Function logs for graph-sharepoint-notification when uploads do not start ADF.</w:t>
      </w:r>
    </w:p>
    <w:p>
      <w:pPr>
        <w:pStyle w:val="ListBullet"/>
      </w:pPr>
      <w:r>
        <w:t>Check Azure Function logs for process-coats-workbook when ADF starts but extraction fails.</w:t>
      </w:r>
    </w:p>
    <w:p>
      <w:pPr>
        <w:pStyle w:val="ListBullet"/>
      </w:pPr>
      <w:r>
        <w:t>Check Function app settings for missing Graph, raw storage, ADF, or email configuration.</w:t>
      </w:r>
    </w:p>
    <w:p>
      <w:pPr>
        <w:pStyle w:val="ListBullet"/>
      </w:pPr>
      <w:r>
        <w:t>Check the SQL validation issue table for blocking rows tied to the shipment_file_id shown in the ADF output or email.</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60"/>
        <w:gridCol w:w="3360"/>
        <w:gridCol w:w="3360"/>
      </w:tblGrid>
      <w:tr>
        <w:trPr>
          <w:tblHeader w:val="true"/>
        </w:trPr>
        <w:tc>
          <w:tcPr>
            <w:tcW w:type="dxa" w:w="2232"/>
            <w:shd w:fill="1F4E79"/>
            <w:tcMar>
              <w:top w:w="80" w:type="dxa"/>
              <w:start w:w="100" w:type="dxa"/>
              <w:bottom w:w="80" w:type="dxa"/>
              <w:end w:w="100" w:type="dxa"/>
            </w:tcMar>
            <w:vAlign w:val="center"/>
          </w:tcPr>
          <w:p>
            <w:pPr>
              <w:jc w:val="center"/>
            </w:pPr>
            <w:r>
              <w:rPr>
                <w:b/>
                <w:i w:val="0"/>
                <w:color w:val="FFFFFF"/>
                <w:sz w:val="17"/>
              </w:rPr>
              <w:t>Symptom</w:t>
            </w:r>
          </w:p>
        </w:tc>
        <w:tc>
          <w:tcPr>
            <w:tcW w:type="dxa" w:w="3528"/>
            <w:shd w:fill="1F4E79"/>
            <w:tcMar>
              <w:top w:w="80" w:type="dxa"/>
              <w:start w:w="100" w:type="dxa"/>
              <w:bottom w:w="80" w:type="dxa"/>
              <w:end w:w="100" w:type="dxa"/>
            </w:tcMar>
            <w:vAlign w:val="center"/>
          </w:tcPr>
          <w:p>
            <w:pPr>
              <w:jc w:val="center"/>
            </w:pPr>
            <w:r>
              <w:rPr>
                <w:b/>
                <w:i w:val="0"/>
                <w:color w:val="FFFFFF"/>
                <w:sz w:val="17"/>
              </w:rPr>
              <w:t>Likely cause</w:t>
            </w:r>
          </w:p>
        </w:tc>
        <w:tc>
          <w:tcPr>
            <w:tcW w:type="dxa" w:w="3744"/>
            <w:shd w:fill="1F4E79"/>
            <w:tcMar>
              <w:top w:w="80" w:type="dxa"/>
              <w:start w:w="100" w:type="dxa"/>
              <w:bottom w:w="80" w:type="dxa"/>
              <w:end w:w="100" w:type="dxa"/>
            </w:tcMar>
            <w:vAlign w:val="center"/>
          </w:tcPr>
          <w:p>
            <w:pPr>
              <w:jc w:val="center"/>
            </w:pPr>
            <w:r>
              <w:rPr>
                <w:b/>
                <w:i w:val="0"/>
                <w:color w:val="FFFFFF"/>
                <w:sz w:val="17"/>
              </w:rPr>
              <w:t>First checks</w:t>
            </w:r>
          </w:p>
        </w:tc>
      </w:tr>
      <w:tr>
        <w:tc>
          <w:tcPr>
            <w:tcW w:type="dxa" w:w="2232"/>
            <w:tcMar>
              <w:top w:w="80" w:type="dxa"/>
              <w:start w:w="100" w:type="dxa"/>
              <w:bottom w:w="80" w:type="dxa"/>
              <w:end w:w="100" w:type="dxa"/>
            </w:tcMar>
            <w:vAlign w:val="center"/>
          </w:tcPr>
          <w:p>
            <w:pPr>
              <w:spacing w:after="0"/>
            </w:pPr>
            <w:r>
              <w:rPr>
                <w:sz w:val="17"/>
              </w:rPr>
              <w:t>Upload does not start pipeline</w:t>
            </w:r>
          </w:p>
        </w:tc>
        <w:tc>
          <w:tcPr>
            <w:tcW w:type="dxa" w:w="3528"/>
            <w:tcMar>
              <w:top w:w="80" w:type="dxa"/>
              <w:start w:w="100" w:type="dxa"/>
              <w:bottom w:w="80" w:type="dxa"/>
              <w:end w:w="100" w:type="dxa"/>
            </w:tcMar>
            <w:vAlign w:val="center"/>
          </w:tcPr>
          <w:p>
            <w:pPr>
              <w:spacing w:after="0"/>
            </w:pPr>
            <w:r>
              <w:rPr>
                <w:sz w:val="17"/>
              </w:rPr>
              <w:t>Graph subscription expired, Function URL/key changed, wrong folder, or file filter skipped it.</w:t>
            </w:r>
          </w:p>
        </w:tc>
        <w:tc>
          <w:tcPr>
            <w:tcW w:type="dxa" w:w="3744"/>
            <w:tcMar>
              <w:top w:w="80" w:type="dxa"/>
              <w:start w:w="100" w:type="dxa"/>
              <w:bottom w:w="80" w:type="dxa"/>
              <w:end w:w="100" w:type="dxa"/>
            </w:tcMar>
            <w:vAlign w:val="center"/>
          </w:tcPr>
          <w:p>
            <w:pPr>
              <w:spacing w:after="0"/>
            </w:pPr>
            <w:r>
              <w:rPr>
                <w:sz w:val="17"/>
              </w:rPr>
              <w:t>graph_subscription.json expiration; Function logs; file extension and folder path.</w:t>
            </w:r>
          </w:p>
        </w:tc>
      </w:tr>
      <w:tr>
        <w:tc>
          <w:tcPr>
            <w:tcW w:type="dxa" w:w="2232"/>
            <w:tcMar>
              <w:top w:w="80" w:type="dxa"/>
              <w:start w:w="100" w:type="dxa"/>
              <w:bottom w:w="80" w:type="dxa"/>
              <w:end w:w="100" w:type="dxa"/>
            </w:tcMar>
            <w:vAlign w:val="center"/>
          </w:tcPr>
          <w:p>
            <w:pPr>
              <w:spacing w:after="0"/>
            </w:pPr>
            <w:r>
              <w:rPr>
                <w:sz w:val="17"/>
              </w:rPr>
              <w:t>Pipeline fails in ProcessCoatsWorkbook</w:t>
            </w:r>
          </w:p>
        </w:tc>
        <w:tc>
          <w:tcPr>
            <w:tcW w:type="dxa" w:w="3528"/>
            <w:tcMar>
              <w:top w:w="80" w:type="dxa"/>
              <w:start w:w="100" w:type="dxa"/>
              <w:bottom w:w="80" w:type="dxa"/>
              <w:end w:w="100" w:type="dxa"/>
            </w:tcMar>
            <w:vAlign w:val="center"/>
          </w:tcPr>
          <w:p>
            <w:pPr>
              <w:spacing w:after="0"/>
            </w:pPr>
            <w:r>
              <w:rPr>
                <w:sz w:val="17"/>
              </w:rPr>
              <w:t>Graph download failure, invalid filename, missing worksheet/header, or workbook parsing problem.</w:t>
            </w:r>
          </w:p>
        </w:tc>
        <w:tc>
          <w:tcPr>
            <w:tcW w:type="dxa" w:w="3744"/>
            <w:tcMar>
              <w:top w:w="80" w:type="dxa"/>
              <w:start w:w="100" w:type="dxa"/>
              <w:bottom w:w="80" w:type="dxa"/>
              <w:end w:w="100" w:type="dxa"/>
            </w:tcMar>
            <w:vAlign w:val="center"/>
          </w:tcPr>
          <w:p>
            <w:pPr>
              <w:spacing w:after="0"/>
            </w:pPr>
            <w:r>
              <w:rPr>
                <w:sz w:val="17"/>
              </w:rPr>
              <w:t>ADF activity output; Function logs; workbook sheet Material Detail.</w:t>
            </w:r>
          </w:p>
        </w:tc>
      </w:tr>
      <w:tr>
        <w:tc>
          <w:tcPr>
            <w:tcW w:type="dxa" w:w="2232"/>
            <w:tcMar>
              <w:top w:w="80" w:type="dxa"/>
              <w:start w:w="100" w:type="dxa"/>
              <w:bottom w:w="80" w:type="dxa"/>
              <w:end w:w="100" w:type="dxa"/>
            </w:tcMar>
            <w:vAlign w:val="center"/>
          </w:tcPr>
          <w:p>
            <w:pPr>
              <w:spacing w:after="0"/>
            </w:pPr>
            <w:r>
              <w:rPr>
                <w:sz w:val="17"/>
              </w:rPr>
              <w:t>Validation email sent</w:t>
            </w:r>
          </w:p>
        </w:tc>
        <w:tc>
          <w:tcPr>
            <w:tcW w:type="dxa" w:w="3528"/>
            <w:tcMar>
              <w:top w:w="80" w:type="dxa"/>
              <w:start w:w="100" w:type="dxa"/>
              <w:bottom w:w="80" w:type="dxa"/>
              <w:end w:w="100" w:type="dxa"/>
            </w:tcMar>
            <w:vAlign w:val="center"/>
          </w:tcPr>
          <w:p>
            <w:pPr>
              <w:spacing w:after="0"/>
            </w:pPr>
            <w:r>
              <w:rPr>
                <w:sz w:val="17"/>
              </w:rPr>
              <w:t>Business data does not pass PO/item/bin/pallet rules.</w:t>
            </w:r>
          </w:p>
        </w:tc>
        <w:tc>
          <w:tcPr>
            <w:tcW w:type="dxa" w:w="3744"/>
            <w:tcMar>
              <w:top w:w="80" w:type="dxa"/>
              <w:start w:w="100" w:type="dxa"/>
              <w:bottom w:w="80" w:type="dxa"/>
              <w:end w:w="100" w:type="dxa"/>
            </w:tcMar>
            <w:vAlign w:val="center"/>
          </w:tcPr>
          <w:p>
            <w:pPr>
              <w:spacing w:after="0"/>
            </w:pPr>
            <w:r>
              <w:rPr>
                <w:sz w:val="17"/>
              </w:rPr>
              <w:t>Email table; P21Import.dbo.coats_mexico_shipment_validation_issue.</w:t>
            </w:r>
          </w:p>
        </w:tc>
      </w:tr>
      <w:tr>
        <w:tc>
          <w:tcPr>
            <w:tcW w:type="dxa" w:w="2232"/>
            <w:tcMar>
              <w:top w:w="80" w:type="dxa"/>
              <w:start w:w="100" w:type="dxa"/>
              <w:bottom w:w="80" w:type="dxa"/>
              <w:end w:w="100" w:type="dxa"/>
            </w:tcMar>
            <w:vAlign w:val="center"/>
          </w:tcPr>
          <w:p>
            <w:pPr>
              <w:spacing w:after="0"/>
            </w:pPr>
            <w:r>
              <w:rPr>
                <w:sz w:val="17"/>
              </w:rPr>
              <w:t>Success email sent but P21 review sees no bins</w:t>
            </w:r>
          </w:p>
        </w:tc>
        <w:tc>
          <w:tcPr>
            <w:tcW w:type="dxa" w:w="3528"/>
            <w:tcMar>
              <w:top w:w="80" w:type="dxa"/>
              <w:start w:w="100" w:type="dxa"/>
              <w:bottom w:w="80" w:type="dxa"/>
              <w:end w:w="100" w:type="dxa"/>
            </w:tcMar>
            <w:vAlign w:val="center"/>
          </w:tcPr>
          <w:p>
            <w:pPr>
              <w:spacing w:after="0"/>
            </w:pPr>
            <w:r>
              <w:rPr>
                <w:sz w:val="17"/>
              </w:rPr>
              <w:t>Expected current limitation.</w:t>
            </w:r>
          </w:p>
        </w:tc>
        <w:tc>
          <w:tcPr>
            <w:tcW w:type="dxa" w:w="3744"/>
            <w:tcMar>
              <w:top w:w="80" w:type="dxa"/>
              <w:start w:w="100" w:type="dxa"/>
              <w:bottom w:w="80" w:type="dxa"/>
              <w:end w:w="100" w:type="dxa"/>
            </w:tcMar>
            <w:vAlign w:val="center"/>
          </w:tcPr>
          <w:p>
            <w:pPr>
              <w:spacing w:after="0"/>
            </w:pPr>
            <w:r>
              <w:rPr>
                <w:sz w:val="17"/>
              </w:rPr>
              <w:t>document_line_bin automation is intentionally skipped; bin allocations remain manual.</w:t>
            </w:r>
          </w:p>
        </w:tc>
      </w:tr>
      <w:tr>
        <w:tc>
          <w:tcPr>
            <w:tcW w:type="dxa" w:w="2232"/>
            <w:tcMar>
              <w:top w:w="80" w:type="dxa"/>
              <w:start w:w="100" w:type="dxa"/>
              <w:bottom w:w="80" w:type="dxa"/>
              <w:end w:w="100" w:type="dxa"/>
            </w:tcMar>
            <w:vAlign w:val="center"/>
          </w:tcPr>
          <w:p>
            <w:pPr>
              <w:spacing w:after="0"/>
            </w:pPr>
            <w:r>
              <w:rPr>
                <w:sz w:val="17"/>
              </w:rPr>
              <w:t>Email sending fails</w:t>
            </w:r>
          </w:p>
        </w:tc>
        <w:tc>
          <w:tcPr>
            <w:tcW w:type="dxa" w:w="3528"/>
            <w:tcMar>
              <w:top w:w="80" w:type="dxa"/>
              <w:start w:w="100" w:type="dxa"/>
              <w:bottom w:w="80" w:type="dxa"/>
              <w:end w:w="100" w:type="dxa"/>
            </w:tcMar>
            <w:vAlign w:val="center"/>
          </w:tcPr>
          <w:p>
            <w:pPr>
              <w:spacing w:after="0"/>
            </w:pPr>
            <w:r>
              <w:rPr>
                <w:sz w:val="17"/>
              </w:rPr>
              <w:t>Mail.Send permission, sender mailbox setting, or recipient setting issue.</w:t>
            </w:r>
          </w:p>
        </w:tc>
        <w:tc>
          <w:tcPr>
            <w:tcW w:type="dxa" w:w="3744"/>
            <w:tcMar>
              <w:top w:w="80" w:type="dxa"/>
              <w:start w:w="100" w:type="dxa"/>
              <w:bottom w:w="80" w:type="dxa"/>
              <w:end w:w="100" w:type="dxa"/>
            </w:tcMar>
            <w:vAlign w:val="center"/>
          </w:tcPr>
          <w:p>
            <w:pPr>
              <w:spacing w:after="0"/>
            </w:pPr>
            <w:r>
              <w:rPr>
                <w:sz w:val="17"/>
              </w:rPr>
              <w:t>Entra app permissions; COATS_VALIDATION_EMAIL_FROM/TO/CC; Function logs.</w:t>
            </w:r>
          </w:p>
        </w:tc>
      </w:tr>
    </w:tbl>
    <w:p/>
    <w:p>
      <w:pPr>
        <w:pStyle w:val="Heading1"/>
        <w:keepNext/>
      </w:pPr>
      <w:r>
        <w:t>Graph Subscription Maintenance</w:t>
      </w:r>
    </w:p>
    <w:tbl>
      <w:tblPr>
        <w:tblW w:type="auto" w:w="0"/>
        <w:jc w:val="center"/>
        <w:tblLayout w:type="autofit"/>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080"/>
      </w:tblGrid>
      <w:tr>
        <w:tc>
          <w:tcPr>
            <w:tcW w:type="dxa" w:w="10080"/>
            <w:shd w:fill="FCE4D6"/>
            <w:tcMar>
              <w:top w:w="130" w:type="dxa"/>
              <w:start w:w="160" w:type="dxa"/>
              <w:bottom w:w="130" w:type="dxa"/>
              <w:end w:w="160" w:type="dxa"/>
            </w:tcMar>
          </w:tcPr>
          <w:p>
            <w:pPr>
              <w:spacing w:after="60"/>
            </w:pPr>
            <w:r>
              <w:rPr>
                <w:b/>
                <w:i w:val="0"/>
                <w:color w:val="1F4E79"/>
              </w:rPr>
              <w:t>Recurring maintenance item</w:t>
            </w:r>
          </w:p>
          <w:p>
            <w:pPr>
              <w:spacing w:after="0"/>
            </w:pPr>
            <w:r>
              <w:rPr>
                <w:sz w:val="19"/>
              </w:rPr>
              <w:t>Microsoft Graph change subscriptions expire and must be renewed/recreated. The current graph_subscription.json in the project shows expirationDateTime = 2026-06-07T17:31:35Z. A third-party team should schedule renewal before that date and then keep an ongoing renewal calendar.</w:t>
            </w:r>
          </w:p>
        </w:tc>
      </w:tr>
    </w:tbl>
    <w:p/>
    <w:p>
      <w:r>
        <w:t>The deployment script currently deletes the existing matching subscription and creates a new one. That is acceptable during planned maintenance, but it means the Graph subscription is not a set-and-forget resource.</w:t>
      </w:r>
    </w:p>
    <w:p>
      <w:pPr>
        <w:pStyle w:val="Heading1"/>
        <w:keepNext/>
      </w:pPr>
      <w:r>
        <w:t>Deployment and Redeployment</w:t>
      </w:r>
    </w:p>
    <w:p>
      <w:r>
        <w:t>The primary deployment script is:</w:t>
      </w:r>
    </w:p>
    <w:p>
      <w:pPr>
        <w:pStyle w:val="Code"/>
        <w:spacing w:after="160"/>
        <w:ind w:left="288"/>
      </w:pPr>
      <w:r>
        <w:rPr>
          <w:rFonts w:ascii="Consolas" w:hAnsi="Consolas" w:eastAsia="Consolas"/>
          <w:sz w:val="17"/>
        </w:rPr>
        <w:t>C:\Users\DanShao\Projects\azure\coats_mexico\deploy_event_pipeline.ps1</w:t>
      </w:r>
      <w:r>
        <w:br/>
      </w:r>
    </w:p>
    <w:p>
      <w:r>
        <w:t>Run from a PowerShell environment with Azure CLI authenticated to the Komar Alliance tenant/subscription:</w:t>
      </w:r>
    </w:p>
    <w:p>
      <w:pPr>
        <w:pStyle w:val="Code"/>
        <w:spacing w:after="160"/>
        <w:ind w:left="288"/>
      </w:pPr>
      <w:r>
        <w:rPr>
          <w:rFonts w:ascii="Consolas" w:hAnsi="Consolas" w:eastAsia="Consolas"/>
          <w:sz w:val="17"/>
        </w:rPr>
        <w:t>pwsh -NoProfile -ExecutionPolicy Bypass -File .\deploy_event_pipeline.ps1</w:t>
      </w:r>
      <w:r>
        <w:br/>
      </w:r>
    </w:p>
    <w:p>
      <w:pPr>
        <w:pStyle w:val="ListBullet"/>
      </w:pPr>
      <w:r>
        <w:t>The script creates or updates the Function App, app settings, ADF pipeline, SQL Script activity contents, Function package, and Graph subscription.</w:t>
      </w:r>
    </w:p>
    <w:p>
      <w:pPr>
        <w:pStyle w:val="ListBullet"/>
      </w:pPr>
      <w:r>
        <w:t>It packages the extractor and Azure Function code together, installs Python dependencies for Linux Azure Functions, and deploys by zip.</w:t>
      </w:r>
    </w:p>
    <w:p>
      <w:pPr>
        <w:pStyle w:val="ListBullet"/>
      </w:pPr>
      <w:r>
        <w:t>It assigns the Function App managed identity RBAC permission to start the ADF pipeline.</w:t>
      </w:r>
    </w:p>
    <w:p>
      <w:pPr>
        <w:pStyle w:val="ListBullet"/>
      </w:pPr>
      <w:r>
        <w:t>After deployment, save the new graph_subscription.json details and verify the expiration date.</w:t>
      </w:r>
    </w:p>
    <w:p>
      <w:pPr>
        <w:pStyle w:val="Heading1"/>
        <w:keepNext/>
      </w:pPr>
      <w:r>
        <w:t>Useful Commands</w:t>
      </w:r>
    </w:p>
    <w:p>
      <w:pPr>
        <w:pStyle w:val="Code"/>
        <w:spacing w:after="160"/>
        <w:ind w:left="288"/>
      </w:pPr>
      <w:r>
        <w:rPr>
          <w:rFonts w:ascii="Consolas" w:hAnsi="Consolas" w:eastAsia="Consolas"/>
          <w:sz w:val="17"/>
        </w:rPr>
        <w:t># Create a parameters file first, for example coats-params.json:</w:t>
      </w:r>
      <w:r>
        <w:br/>
      </w:r>
      <w:r>
        <w:rPr>
          <w:rFonts w:ascii="Consolas" w:hAnsi="Consolas" w:eastAsia="Consolas"/>
          <w:sz w:val="17"/>
        </w:rPr>
        <w:t>{</w:t>
      </w:r>
      <w:r>
        <w:br/>
      </w:r>
      <w:r>
        <w:rPr>
          <w:rFonts w:ascii="Consolas" w:hAnsi="Consolas" w:eastAsia="Consolas"/>
          <w:sz w:val="17"/>
        </w:rPr>
        <w:t xml:space="preserve">  "sharePointDriveId": "&lt;drive-id&gt;",</w:t>
      </w:r>
      <w:r>
        <w:br/>
      </w:r>
      <w:r>
        <w:rPr>
          <w:rFonts w:ascii="Consolas" w:hAnsi="Consolas" w:eastAsia="Consolas"/>
          <w:sz w:val="17"/>
        </w:rPr>
        <w:t xml:space="preserve">  "sharePointDriveItemId": "&lt;item-id&gt;",</w:t>
      </w:r>
      <w:r>
        <w:br/>
      </w:r>
      <w:r>
        <w:rPr>
          <w:rFonts w:ascii="Consolas" w:hAnsi="Consolas" w:eastAsia="Consolas"/>
          <w:sz w:val="17"/>
        </w:rPr>
        <w:t xml:space="preserve">  "sourceFileName": "&lt;file-name.xlsx&gt;",</w:t>
      </w:r>
      <w:r>
        <w:br/>
      </w:r>
      <w:r>
        <w:rPr>
          <w:rFonts w:ascii="Consolas" w:hAnsi="Consolas" w:eastAsia="Consolas"/>
          <w:sz w:val="17"/>
        </w:rPr>
        <w:t xml:space="preserve">  "sourceWebUrl": "&lt;sharepoint-web-url&gt;",</w:t>
      </w:r>
      <w:r>
        <w:br/>
      </w:r>
      <w:r>
        <w:rPr>
          <w:rFonts w:ascii="Consolas" w:hAnsi="Consolas" w:eastAsia="Consolas"/>
          <w:sz w:val="17"/>
        </w:rPr>
        <w:t xml:space="preserve">  "sourceFolderPath": "&lt;folder-path&gt;",</w:t>
      </w:r>
      <w:r>
        <w:br/>
      </w:r>
      <w:r>
        <w:rPr>
          <w:rFonts w:ascii="Consolas" w:hAnsi="Consolas" w:eastAsia="Consolas"/>
          <w:sz w:val="17"/>
        </w:rPr>
        <w:t xml:space="preserve">  "graphSubscriptionId": "manual",</w:t>
      </w:r>
      <w:r>
        <w:br/>
      </w:r>
      <w:r>
        <w:rPr>
          <w:rFonts w:ascii="Consolas" w:hAnsi="Consolas" w:eastAsia="Consolas"/>
          <w:sz w:val="17"/>
        </w:rPr>
        <w:t xml:space="preserve">  "notificationReceivedUtc": "&lt;utc-timestamp&gt;"</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 Trigger the Coats Mexico ADF pipeline manually.</w:t>
      </w:r>
      <w:r>
        <w:br/>
      </w:r>
      <w:r>
        <w:rPr>
          <w:rFonts w:ascii="Consolas" w:hAnsi="Consolas" w:eastAsia="Consolas"/>
          <w:sz w:val="17"/>
        </w:rPr>
        <w:t>az datafactory pipeline create-run ^</w:t>
      </w:r>
      <w:r>
        <w:br/>
      </w:r>
      <w:r>
        <w:rPr>
          <w:rFonts w:ascii="Consolas" w:hAnsi="Consolas" w:eastAsia="Consolas"/>
          <w:sz w:val="17"/>
        </w:rPr>
        <w:t xml:space="preserve">  --resource-group RG1 ^</w:t>
      </w:r>
      <w:r>
        <w:br/>
      </w:r>
      <w:r>
        <w:rPr>
          <w:rFonts w:ascii="Consolas" w:hAnsi="Consolas" w:eastAsia="Consolas"/>
          <w:sz w:val="17"/>
        </w:rPr>
        <w:t xml:space="preserve">  --factory-name 2026-04-01-DF1 ^</w:t>
      </w:r>
      <w:r>
        <w:br/>
      </w:r>
      <w:r>
        <w:rPr>
          <w:rFonts w:ascii="Consolas" w:hAnsi="Consolas" w:eastAsia="Consolas"/>
          <w:sz w:val="17"/>
        </w:rPr>
        <w:t xml:space="preserve">  --name Coats_Mexico_Shipment_Stage_And_Validate ^</w:t>
      </w:r>
      <w:r>
        <w:br/>
      </w:r>
      <w:r>
        <w:rPr>
          <w:rFonts w:ascii="Consolas" w:hAnsi="Consolas" w:eastAsia="Consolas"/>
          <w:sz w:val="17"/>
        </w:rPr>
        <w:t xml:space="preserve">  --parameters @coats-params.json</w:t>
      </w:r>
      <w:r>
        <w:br/>
      </w:r>
      <w:r>
        <w:rPr>
          <w:rFonts w:ascii="Consolas" w:hAnsi="Consolas" w:eastAsia="Consolas"/>
          <w:sz w:val="17"/>
        </w:rPr>
      </w:r>
      <w:r>
        <w:br/>
      </w:r>
      <w:r>
        <w:rPr>
          <w:rFonts w:ascii="Consolas" w:hAnsi="Consolas" w:eastAsia="Consolas"/>
          <w:sz w:val="17"/>
        </w:rPr>
        <w:t># Check a pipeline run.</w:t>
      </w:r>
      <w:r>
        <w:br/>
      </w:r>
      <w:r>
        <w:rPr>
          <w:rFonts w:ascii="Consolas" w:hAnsi="Consolas" w:eastAsia="Consolas"/>
          <w:sz w:val="17"/>
        </w:rPr>
        <w:t>az datafactory pipeline-run show ^</w:t>
      </w:r>
      <w:r>
        <w:br/>
      </w:r>
      <w:r>
        <w:rPr>
          <w:rFonts w:ascii="Consolas" w:hAnsi="Consolas" w:eastAsia="Consolas"/>
          <w:sz w:val="17"/>
        </w:rPr>
        <w:t xml:space="preserve">  --resource-group RG1 ^</w:t>
      </w:r>
      <w:r>
        <w:br/>
      </w:r>
      <w:r>
        <w:rPr>
          <w:rFonts w:ascii="Consolas" w:hAnsi="Consolas" w:eastAsia="Consolas"/>
          <w:sz w:val="17"/>
        </w:rPr>
        <w:t xml:space="preserve">  --factory-name 2026-04-01-DF1 ^</w:t>
      </w:r>
      <w:r>
        <w:br/>
      </w:r>
      <w:r>
        <w:rPr>
          <w:rFonts w:ascii="Consolas" w:hAnsi="Consolas" w:eastAsia="Consolas"/>
          <w:sz w:val="17"/>
        </w:rPr>
        <w:t xml:space="preserve">  --run-id &lt;run-id&gt; ^</w:t>
      </w:r>
      <w:r>
        <w:br/>
      </w:r>
      <w:r>
        <w:rPr>
          <w:rFonts w:ascii="Consolas" w:hAnsi="Consolas" w:eastAsia="Consolas"/>
          <w:sz w:val="17"/>
        </w:rPr>
        <w:t xml:space="preserve">  --output json</w:t>
      </w:r>
      <w:r>
        <w:br/>
      </w:r>
      <w:r>
        <w:rPr>
          <w:rFonts w:ascii="Consolas" w:hAnsi="Consolas" w:eastAsia="Consolas"/>
          <w:sz w:val="17"/>
        </w:rPr>
      </w:r>
      <w:r>
        <w:br/>
      </w:r>
      <w:r>
        <w:rPr>
          <w:rFonts w:ascii="Consolas" w:hAnsi="Consolas" w:eastAsia="Consolas"/>
          <w:sz w:val="17"/>
        </w:rPr>
        <w:t># Check activity runs for a known time window.</w:t>
      </w:r>
      <w:r>
        <w:br/>
      </w:r>
      <w:r>
        <w:rPr>
          <w:rFonts w:ascii="Consolas" w:hAnsi="Consolas" w:eastAsia="Consolas"/>
          <w:sz w:val="17"/>
        </w:rPr>
        <w:t>az datafactory activity-run query-by-pipeline-run ^</w:t>
      </w:r>
      <w:r>
        <w:br/>
      </w:r>
      <w:r>
        <w:rPr>
          <w:rFonts w:ascii="Consolas" w:hAnsi="Consolas" w:eastAsia="Consolas"/>
          <w:sz w:val="17"/>
        </w:rPr>
        <w:t xml:space="preserve">  --resource-group RG1 ^</w:t>
      </w:r>
      <w:r>
        <w:br/>
      </w:r>
      <w:r>
        <w:rPr>
          <w:rFonts w:ascii="Consolas" w:hAnsi="Consolas" w:eastAsia="Consolas"/>
          <w:sz w:val="17"/>
        </w:rPr>
        <w:t xml:space="preserve">  --factory-name 2026-04-01-DF1 ^</w:t>
      </w:r>
      <w:r>
        <w:br/>
      </w:r>
      <w:r>
        <w:rPr>
          <w:rFonts w:ascii="Consolas" w:hAnsi="Consolas" w:eastAsia="Consolas"/>
          <w:sz w:val="17"/>
        </w:rPr>
        <w:t xml:space="preserve">  --run-id &lt;run-id&gt; ^</w:t>
      </w:r>
      <w:r>
        <w:br/>
      </w:r>
      <w:r>
        <w:rPr>
          <w:rFonts w:ascii="Consolas" w:hAnsi="Consolas" w:eastAsia="Consolas"/>
          <w:sz w:val="17"/>
        </w:rPr>
        <w:t xml:space="preserve">  --last-updated-after &lt;utc-start&gt; ^</w:t>
      </w:r>
      <w:r>
        <w:br/>
      </w:r>
      <w:r>
        <w:rPr>
          <w:rFonts w:ascii="Consolas" w:hAnsi="Consolas" w:eastAsia="Consolas"/>
          <w:sz w:val="17"/>
        </w:rPr>
        <w:t xml:space="preserve">  --last-updated-before &lt;utc-end&gt; ^</w:t>
      </w:r>
      <w:r>
        <w:br/>
      </w:r>
      <w:r>
        <w:rPr>
          <w:rFonts w:ascii="Consolas" w:hAnsi="Consolas" w:eastAsia="Consolas"/>
          <w:sz w:val="17"/>
        </w:rPr>
        <w:t xml:space="preserve">  --output json</w:t>
      </w:r>
      <w:r>
        <w:br/>
      </w:r>
    </w:p>
    <w:p>
      <w:pPr>
        <w:pStyle w:val="Heading1"/>
        <w:keepNext/>
      </w:pPr>
      <w:r>
        <w:t>Source Code Inventory</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040"/>
        <w:gridCol w:w="5040"/>
      </w:tblGrid>
      <w:tr>
        <w:trPr>
          <w:tblHeader w:val="true"/>
        </w:trPr>
        <w:tc>
          <w:tcPr>
            <w:tcW w:type="dxa" w:w="4032"/>
            <w:shd w:fill="1F4E79"/>
            <w:tcMar>
              <w:top w:w="80" w:type="dxa"/>
              <w:start w:w="100" w:type="dxa"/>
              <w:bottom w:w="80" w:type="dxa"/>
              <w:end w:w="100" w:type="dxa"/>
            </w:tcMar>
            <w:vAlign w:val="center"/>
          </w:tcPr>
          <w:p>
            <w:pPr>
              <w:jc w:val="center"/>
            </w:pPr>
            <w:r>
              <w:rPr>
                <w:b/>
                <w:i w:val="0"/>
                <w:color w:val="FFFFFF"/>
                <w:sz w:val="17"/>
              </w:rPr>
              <w:t>Path</w:t>
            </w:r>
          </w:p>
        </w:tc>
        <w:tc>
          <w:tcPr>
            <w:tcW w:type="dxa" w:w="5472"/>
            <w:shd w:fill="1F4E79"/>
            <w:tcMar>
              <w:top w:w="80" w:type="dxa"/>
              <w:start w:w="100" w:type="dxa"/>
              <w:bottom w:w="80" w:type="dxa"/>
              <w:end w:w="100" w:type="dxa"/>
            </w:tcMar>
            <w:vAlign w:val="center"/>
          </w:tcPr>
          <w:p>
            <w:pPr>
              <w:jc w:val="center"/>
            </w:pPr>
            <w:r>
              <w:rPr>
                <w:b/>
                <w:i w:val="0"/>
                <w:color w:val="FFFFFF"/>
                <w:sz w:val="17"/>
              </w:rPr>
              <w:t>Purpose</w:t>
            </w:r>
          </w:p>
        </w:tc>
      </w:tr>
      <w:tr>
        <w:tc>
          <w:tcPr>
            <w:tcW w:type="dxa" w:w="4032"/>
            <w:tcMar>
              <w:top w:w="80" w:type="dxa"/>
              <w:start w:w="100" w:type="dxa"/>
              <w:bottom w:w="80" w:type="dxa"/>
              <w:end w:w="100" w:type="dxa"/>
            </w:tcMar>
            <w:vAlign w:val="center"/>
          </w:tcPr>
          <w:p>
            <w:pPr>
              <w:spacing w:after="0"/>
            </w:pPr>
            <w:r>
              <w:rPr>
                <w:sz w:val="17"/>
              </w:rPr>
              <w:t>azure_function/function_app.py</w:t>
            </w:r>
          </w:p>
        </w:tc>
        <w:tc>
          <w:tcPr>
            <w:tcW w:type="dxa" w:w="5472"/>
            <w:tcMar>
              <w:top w:w="80" w:type="dxa"/>
              <w:start w:w="100" w:type="dxa"/>
              <w:bottom w:w="80" w:type="dxa"/>
              <w:end w:w="100" w:type="dxa"/>
            </w:tcMar>
            <w:vAlign w:val="center"/>
          </w:tcPr>
          <w:p>
            <w:pPr>
              <w:spacing w:after="0"/>
            </w:pPr>
            <w:r>
              <w:rPr>
                <w:sz w:val="17"/>
              </w:rPr>
              <w:t>Python v2 Azure Function routes: notification, workbook processing, validation email, success email.</w:t>
            </w:r>
          </w:p>
        </w:tc>
      </w:tr>
      <w:tr>
        <w:tc>
          <w:tcPr>
            <w:tcW w:type="dxa" w:w="4032"/>
            <w:tcMar>
              <w:top w:w="80" w:type="dxa"/>
              <w:start w:w="100" w:type="dxa"/>
              <w:bottom w:w="80" w:type="dxa"/>
              <w:end w:w="100" w:type="dxa"/>
            </w:tcMar>
            <w:vAlign w:val="center"/>
          </w:tcPr>
          <w:p>
            <w:pPr>
              <w:spacing w:after="0"/>
            </w:pPr>
            <w:r>
              <w:rPr>
                <w:sz w:val="17"/>
              </w:rPr>
              <w:t>azure_function/coats_function_common.py</w:t>
            </w:r>
          </w:p>
        </w:tc>
        <w:tc>
          <w:tcPr>
            <w:tcW w:type="dxa" w:w="5472"/>
            <w:tcMar>
              <w:top w:w="80" w:type="dxa"/>
              <w:start w:w="100" w:type="dxa"/>
              <w:bottom w:w="80" w:type="dxa"/>
              <w:end w:w="100" w:type="dxa"/>
            </w:tcMar>
            <w:vAlign w:val="center"/>
          </w:tcPr>
          <w:p>
            <w:pPr>
              <w:spacing w:after="0"/>
            </w:pPr>
            <w:r>
              <w:rPr>
                <w:sz w:val="17"/>
              </w:rPr>
              <w:t>Shared Graph, ADF, Blob, extraction, email, duplicate-claim, and filtering logic.</w:t>
            </w:r>
          </w:p>
        </w:tc>
      </w:tr>
      <w:tr>
        <w:tc>
          <w:tcPr>
            <w:tcW w:type="dxa" w:w="4032"/>
            <w:tcMar>
              <w:top w:w="80" w:type="dxa"/>
              <w:start w:w="100" w:type="dxa"/>
              <w:bottom w:w="80" w:type="dxa"/>
              <w:end w:w="100" w:type="dxa"/>
            </w:tcMar>
            <w:vAlign w:val="center"/>
          </w:tcPr>
          <w:p>
            <w:pPr>
              <w:spacing w:after="0"/>
            </w:pPr>
            <w:r>
              <w:rPr>
                <w:sz w:val="17"/>
              </w:rPr>
              <w:t>src/extract_coats_mexico_workbook.py</w:t>
            </w:r>
          </w:p>
        </w:tc>
        <w:tc>
          <w:tcPr>
            <w:tcW w:type="dxa" w:w="5472"/>
            <w:tcMar>
              <w:top w:w="80" w:type="dxa"/>
              <w:start w:w="100" w:type="dxa"/>
              <w:bottom w:w="80" w:type="dxa"/>
              <w:end w:w="100" w:type="dxa"/>
            </w:tcMar>
            <w:vAlign w:val="center"/>
          </w:tcPr>
          <w:p>
            <w:pPr>
              <w:spacing w:after="0"/>
            </w:pPr>
            <w:r>
              <w:rPr>
                <w:sz w:val="17"/>
              </w:rPr>
              <w:t>Dependency-free .xlsx extractor and pallet comment parser.</w:t>
            </w:r>
          </w:p>
        </w:tc>
      </w:tr>
      <w:tr>
        <w:tc>
          <w:tcPr>
            <w:tcW w:type="dxa" w:w="4032"/>
            <w:tcMar>
              <w:top w:w="80" w:type="dxa"/>
              <w:start w:w="100" w:type="dxa"/>
              <w:bottom w:w="80" w:type="dxa"/>
              <w:end w:w="100" w:type="dxa"/>
            </w:tcMar>
            <w:vAlign w:val="center"/>
          </w:tcPr>
          <w:p>
            <w:pPr>
              <w:spacing w:after="0"/>
            </w:pPr>
            <w:r>
              <w:rPr>
                <w:sz w:val="17"/>
              </w:rPr>
              <w:t>sql/001_create_coats_mexico_staging.sql</w:t>
            </w:r>
          </w:p>
        </w:tc>
        <w:tc>
          <w:tcPr>
            <w:tcW w:type="dxa" w:w="5472"/>
            <w:tcMar>
              <w:top w:w="80" w:type="dxa"/>
              <w:start w:w="100" w:type="dxa"/>
              <w:bottom w:w="80" w:type="dxa"/>
              <w:end w:w="100" w:type="dxa"/>
            </w:tcMar>
            <w:vAlign w:val="center"/>
          </w:tcPr>
          <w:p>
            <w:pPr>
              <w:spacing w:after="0"/>
            </w:pPr>
            <w:r>
              <w:rPr>
                <w:sz w:val="17"/>
              </w:rPr>
              <w:t>Creates staging tables and staging procedure.</w:t>
            </w:r>
          </w:p>
        </w:tc>
      </w:tr>
      <w:tr>
        <w:tc>
          <w:tcPr>
            <w:tcW w:type="dxa" w:w="4032"/>
            <w:tcMar>
              <w:top w:w="80" w:type="dxa"/>
              <w:start w:w="100" w:type="dxa"/>
              <w:bottom w:w="80" w:type="dxa"/>
              <w:end w:w="100" w:type="dxa"/>
            </w:tcMar>
            <w:vAlign w:val="center"/>
          </w:tcPr>
          <w:p>
            <w:pPr>
              <w:spacing w:after="0"/>
            </w:pPr>
            <w:r>
              <w:rPr>
                <w:sz w:val="17"/>
              </w:rPr>
              <w:t>sql/002_validate_coats_mexico_staging_from_p21.sql</w:t>
            </w:r>
          </w:p>
        </w:tc>
        <w:tc>
          <w:tcPr>
            <w:tcW w:type="dxa" w:w="5472"/>
            <w:tcMar>
              <w:top w:w="80" w:type="dxa"/>
              <w:start w:w="100" w:type="dxa"/>
              <w:bottom w:w="80" w:type="dxa"/>
              <w:end w:w="100" w:type="dxa"/>
            </w:tcMar>
            <w:vAlign w:val="center"/>
          </w:tcPr>
          <w:p>
            <w:pPr>
              <w:spacing w:after="0"/>
            </w:pPr>
            <w:r>
              <w:rPr>
                <w:sz w:val="17"/>
              </w:rPr>
              <w:t>Validates staged pallet lines against P21Import/P21 reference data.</w:t>
            </w:r>
          </w:p>
        </w:tc>
      </w:tr>
      <w:tr>
        <w:tc>
          <w:tcPr>
            <w:tcW w:type="dxa" w:w="4032"/>
            <w:tcMar>
              <w:top w:w="80" w:type="dxa"/>
              <w:start w:w="100" w:type="dxa"/>
              <w:bottom w:w="80" w:type="dxa"/>
              <w:end w:w="100" w:type="dxa"/>
            </w:tcMar>
            <w:vAlign w:val="center"/>
          </w:tcPr>
          <w:p>
            <w:pPr>
              <w:spacing w:after="0"/>
            </w:pPr>
            <w:r>
              <w:rPr>
                <w:sz w:val="17"/>
              </w:rPr>
              <w:t>sql/003_probe_p21import_receipt_header_required_fields.sql</w:t>
            </w:r>
          </w:p>
        </w:tc>
        <w:tc>
          <w:tcPr>
            <w:tcW w:type="dxa" w:w="5472"/>
            <w:tcMar>
              <w:top w:w="80" w:type="dxa"/>
              <w:start w:w="100" w:type="dxa"/>
              <w:bottom w:w="80" w:type="dxa"/>
              <w:end w:w="100" w:type="dxa"/>
            </w:tcMar>
            <w:vAlign w:val="center"/>
          </w:tcPr>
          <w:p>
            <w:pPr>
              <w:spacing w:after="0"/>
            </w:pPr>
            <w:r>
              <w:rPr>
                <w:sz w:val="17"/>
              </w:rPr>
              <w:t>Diagnostic script used to identify required P21Import receipt fields.</w:t>
            </w:r>
          </w:p>
        </w:tc>
      </w:tr>
      <w:tr>
        <w:tc>
          <w:tcPr>
            <w:tcW w:type="dxa" w:w="4032"/>
            <w:tcMar>
              <w:top w:w="80" w:type="dxa"/>
              <w:start w:w="100" w:type="dxa"/>
              <w:bottom w:w="80" w:type="dxa"/>
              <w:end w:w="100" w:type="dxa"/>
            </w:tcMar>
            <w:vAlign w:val="center"/>
          </w:tcPr>
          <w:p>
            <w:pPr>
              <w:spacing w:after="0"/>
            </w:pPr>
            <w:r>
              <w:rPr>
                <w:sz w:val="17"/>
              </w:rPr>
              <w:t>sql/004_create_coats_mexico_p21import_receipts.sql</w:t>
            </w:r>
          </w:p>
        </w:tc>
        <w:tc>
          <w:tcPr>
            <w:tcW w:type="dxa" w:w="5472"/>
            <w:tcMar>
              <w:top w:w="80" w:type="dxa"/>
              <w:start w:w="100" w:type="dxa"/>
              <w:bottom w:w="80" w:type="dxa"/>
              <w:end w:w="100" w:type="dxa"/>
            </w:tcMar>
            <w:vAlign w:val="center"/>
          </w:tcPr>
          <w:p>
            <w:pPr>
              <w:spacing w:after="0"/>
            </w:pPr>
            <w:r>
              <w:rPr>
                <w:sz w:val="17"/>
              </w:rPr>
              <w:t>Creates the P21Import receipt chain procedure and tracking table.</w:t>
            </w:r>
          </w:p>
        </w:tc>
      </w:tr>
      <w:tr>
        <w:tc>
          <w:tcPr>
            <w:tcW w:type="dxa" w:w="4032"/>
            <w:tcMar>
              <w:top w:w="80" w:type="dxa"/>
              <w:start w:w="100" w:type="dxa"/>
              <w:bottom w:w="80" w:type="dxa"/>
              <w:end w:w="100" w:type="dxa"/>
            </w:tcMar>
            <w:vAlign w:val="center"/>
          </w:tcPr>
          <w:p>
            <w:pPr>
              <w:spacing w:after="0"/>
            </w:pPr>
            <w:r>
              <w:rPr>
                <w:sz w:val="17"/>
              </w:rPr>
              <w:t>deploy_event_pipeline.ps1</w:t>
            </w:r>
          </w:p>
        </w:tc>
        <w:tc>
          <w:tcPr>
            <w:tcW w:type="dxa" w:w="5472"/>
            <w:tcMar>
              <w:top w:w="80" w:type="dxa"/>
              <w:start w:w="100" w:type="dxa"/>
              <w:bottom w:w="80" w:type="dxa"/>
              <w:end w:w="100" w:type="dxa"/>
            </w:tcMar>
            <w:vAlign w:val="center"/>
          </w:tcPr>
          <w:p>
            <w:pPr>
              <w:spacing w:after="0"/>
            </w:pPr>
            <w:r>
              <w:rPr>
                <w:sz w:val="17"/>
              </w:rPr>
              <w:t>Main deployment script for Function App, ADF pipeline, app settings, and Graph subscription.</w:t>
            </w:r>
          </w:p>
        </w:tc>
      </w:tr>
      <w:tr>
        <w:tc>
          <w:tcPr>
            <w:tcW w:type="dxa" w:w="4032"/>
            <w:tcMar>
              <w:top w:w="80" w:type="dxa"/>
              <w:start w:w="100" w:type="dxa"/>
              <w:bottom w:w="80" w:type="dxa"/>
              <w:end w:w="100" w:type="dxa"/>
            </w:tcMar>
            <w:vAlign w:val="center"/>
          </w:tcPr>
          <w:p>
            <w:pPr>
              <w:spacing w:after="0"/>
            </w:pPr>
            <w:r>
              <w:rPr>
                <w:sz w:val="17"/>
              </w:rPr>
              <w:t>upload_test_workbook.ps1</w:t>
            </w:r>
          </w:p>
        </w:tc>
        <w:tc>
          <w:tcPr>
            <w:tcW w:type="dxa" w:w="5472"/>
            <w:tcMar>
              <w:top w:w="80" w:type="dxa"/>
              <w:start w:w="100" w:type="dxa"/>
              <w:bottom w:w="80" w:type="dxa"/>
              <w:end w:w="100" w:type="dxa"/>
            </w:tcMar>
            <w:vAlign w:val="center"/>
          </w:tcPr>
          <w:p>
            <w:pPr>
              <w:spacing w:after="0"/>
            </w:pPr>
            <w:r>
              <w:rPr>
                <w:sz w:val="17"/>
              </w:rPr>
              <w:t>Helper for uploading a test workbook into SharePoint.</w:t>
            </w:r>
          </w:p>
        </w:tc>
      </w:tr>
      <w:tr>
        <w:tc>
          <w:tcPr>
            <w:tcW w:type="dxa" w:w="4032"/>
            <w:tcMar>
              <w:top w:w="80" w:type="dxa"/>
              <w:start w:w="100" w:type="dxa"/>
              <w:bottom w:w="80" w:type="dxa"/>
              <w:end w:w="100" w:type="dxa"/>
            </w:tcMar>
            <w:vAlign w:val="center"/>
          </w:tcPr>
          <w:p>
            <w:pPr>
              <w:spacing w:after="0"/>
            </w:pPr>
            <w:r>
              <w:rPr>
                <w:sz w:val="17"/>
              </w:rPr>
              <w:t>README.md</w:t>
            </w:r>
          </w:p>
        </w:tc>
        <w:tc>
          <w:tcPr>
            <w:tcW w:type="dxa" w:w="5472"/>
            <w:tcMar>
              <w:top w:w="80" w:type="dxa"/>
              <w:start w:w="100" w:type="dxa"/>
              <w:bottom w:w="80" w:type="dxa"/>
              <w:end w:w="100" w:type="dxa"/>
            </w:tcMar>
            <w:vAlign w:val="center"/>
          </w:tcPr>
          <w:p>
            <w:pPr>
              <w:spacing w:after="0"/>
            </w:pPr>
            <w:r>
              <w:rPr>
                <w:sz w:val="17"/>
              </w:rPr>
              <w:t>Developer-oriented summary of the current implementation.</w:t>
            </w:r>
          </w:p>
        </w:tc>
      </w:tr>
    </w:tbl>
    <w:p/>
    <w:p>
      <w:pPr>
        <w:pStyle w:val="Heading1"/>
        <w:keepNext/>
      </w:pPr>
      <w:r>
        <w:t>Access and Secrets Handoff</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040"/>
        <w:gridCol w:w="5040"/>
      </w:tblGrid>
      <w:tr>
        <w:trPr>
          <w:tblHeader w:val="true"/>
        </w:trPr>
        <w:tc>
          <w:tcPr>
            <w:tcW w:type="dxa" w:w="3528"/>
            <w:shd w:fill="1F4E79"/>
            <w:tcMar>
              <w:top w:w="80" w:type="dxa"/>
              <w:start w:w="100" w:type="dxa"/>
              <w:bottom w:w="80" w:type="dxa"/>
              <w:end w:w="100" w:type="dxa"/>
            </w:tcMar>
            <w:vAlign w:val="center"/>
          </w:tcPr>
          <w:p>
            <w:pPr>
              <w:jc w:val="center"/>
            </w:pPr>
            <w:r>
              <w:rPr>
                <w:b/>
                <w:i w:val="0"/>
                <w:color w:val="FFFFFF"/>
                <w:sz w:val="17"/>
              </w:rPr>
              <w:t>Secret or access</w:t>
            </w:r>
          </w:p>
        </w:tc>
        <w:tc>
          <w:tcPr>
            <w:tcW w:type="dxa" w:w="5976"/>
            <w:shd w:fill="1F4E79"/>
            <w:tcMar>
              <w:top w:w="80" w:type="dxa"/>
              <w:start w:w="100" w:type="dxa"/>
              <w:bottom w:w="80" w:type="dxa"/>
              <w:end w:w="100" w:type="dxa"/>
            </w:tcMar>
            <w:vAlign w:val="center"/>
          </w:tcPr>
          <w:p>
            <w:pPr>
              <w:jc w:val="center"/>
            </w:pPr>
            <w:r>
              <w:rPr>
                <w:b/>
                <w:i w:val="0"/>
                <w:color w:val="FFFFFF"/>
                <w:sz w:val="17"/>
              </w:rPr>
              <w:t>How to hand off safely</w:t>
            </w:r>
          </w:p>
        </w:tc>
      </w:tr>
      <w:tr>
        <w:tc>
          <w:tcPr>
            <w:tcW w:type="dxa" w:w="3528"/>
            <w:tcMar>
              <w:top w:w="80" w:type="dxa"/>
              <w:start w:w="100" w:type="dxa"/>
              <w:bottom w:w="80" w:type="dxa"/>
              <w:end w:w="100" w:type="dxa"/>
            </w:tcMar>
            <w:vAlign w:val="center"/>
          </w:tcPr>
          <w:p>
            <w:pPr>
              <w:spacing w:after="0"/>
            </w:pPr>
            <w:r>
              <w:rPr>
                <w:sz w:val="17"/>
              </w:rPr>
              <w:t>SQL login coats_automation</w:t>
            </w:r>
          </w:p>
        </w:tc>
        <w:tc>
          <w:tcPr>
            <w:tcW w:type="dxa" w:w="5976"/>
            <w:tcMar>
              <w:top w:w="80" w:type="dxa"/>
              <w:start w:w="100" w:type="dxa"/>
              <w:bottom w:w="80" w:type="dxa"/>
              <w:end w:w="100" w:type="dxa"/>
            </w:tcMar>
            <w:vAlign w:val="center"/>
          </w:tcPr>
          <w:p>
            <w:pPr>
              <w:spacing w:after="0"/>
            </w:pPr>
            <w:r>
              <w:rPr>
                <w:sz w:val="17"/>
              </w:rPr>
              <w:t>Store username and password in the company password vault. Rotate the password if it has appeared in email, chat, or old handoff drafts.</w:t>
            </w:r>
          </w:p>
        </w:tc>
      </w:tr>
      <w:tr>
        <w:tc>
          <w:tcPr>
            <w:tcW w:type="dxa" w:w="3528"/>
            <w:tcMar>
              <w:top w:w="80" w:type="dxa"/>
              <w:start w:w="100" w:type="dxa"/>
              <w:bottom w:w="80" w:type="dxa"/>
              <w:end w:w="100" w:type="dxa"/>
            </w:tcMar>
            <w:vAlign w:val="center"/>
          </w:tcPr>
          <w:p>
            <w:pPr>
              <w:spacing w:after="0"/>
            </w:pPr>
            <w:r>
              <w:rPr>
                <w:sz w:val="17"/>
              </w:rPr>
              <w:t>Graph client secret</w:t>
            </w:r>
          </w:p>
        </w:tc>
        <w:tc>
          <w:tcPr>
            <w:tcW w:type="dxa" w:w="5976"/>
            <w:tcMar>
              <w:top w:w="80" w:type="dxa"/>
              <w:start w:w="100" w:type="dxa"/>
              <w:bottom w:w="80" w:type="dxa"/>
              <w:end w:w="100" w:type="dxa"/>
            </w:tcMar>
            <w:vAlign w:val="center"/>
          </w:tcPr>
          <w:p>
            <w:pPr>
              <w:spacing w:after="0"/>
            </w:pPr>
            <w:r>
              <w:rPr>
                <w:sz w:val="17"/>
              </w:rPr>
              <w:t>Store in the password vault or Key Vault; track expiration and rotate before expiry.</w:t>
            </w:r>
          </w:p>
        </w:tc>
      </w:tr>
      <w:tr>
        <w:tc>
          <w:tcPr>
            <w:tcW w:type="dxa" w:w="3528"/>
            <w:tcMar>
              <w:top w:w="80" w:type="dxa"/>
              <w:start w:w="100" w:type="dxa"/>
              <w:bottom w:w="80" w:type="dxa"/>
              <w:end w:w="100" w:type="dxa"/>
            </w:tcMar>
            <w:vAlign w:val="center"/>
          </w:tcPr>
          <w:p>
            <w:pPr>
              <w:spacing w:after="0"/>
            </w:pPr>
            <w:r>
              <w:rPr>
                <w:sz w:val="17"/>
              </w:rPr>
              <w:t>Function keys / notification URLs</w:t>
            </w:r>
          </w:p>
        </w:tc>
        <w:tc>
          <w:tcPr>
            <w:tcW w:type="dxa" w:w="5976"/>
            <w:tcMar>
              <w:top w:w="80" w:type="dxa"/>
              <w:start w:w="100" w:type="dxa"/>
              <w:bottom w:w="80" w:type="dxa"/>
              <w:end w:w="100" w:type="dxa"/>
            </w:tcMar>
            <w:vAlign w:val="center"/>
          </w:tcPr>
          <w:p>
            <w:pPr>
              <w:spacing w:after="0"/>
            </w:pPr>
            <w:r>
              <w:rPr>
                <w:sz w:val="17"/>
              </w:rPr>
              <w:t>Do not paste into documentation. Retrieve from Azure Function App &gt; App keys when needed.</w:t>
            </w:r>
          </w:p>
        </w:tc>
      </w:tr>
      <w:tr>
        <w:tc>
          <w:tcPr>
            <w:tcW w:type="dxa" w:w="3528"/>
            <w:tcMar>
              <w:top w:w="80" w:type="dxa"/>
              <w:start w:w="100" w:type="dxa"/>
              <w:bottom w:w="80" w:type="dxa"/>
              <w:end w:w="100" w:type="dxa"/>
            </w:tcMar>
            <w:vAlign w:val="center"/>
          </w:tcPr>
          <w:p>
            <w:pPr>
              <w:spacing w:after="0"/>
            </w:pPr>
            <w:r>
              <w:rPr>
                <w:sz w:val="17"/>
              </w:rPr>
              <w:t>Storage account keys / raw connection string</w:t>
            </w:r>
          </w:p>
        </w:tc>
        <w:tc>
          <w:tcPr>
            <w:tcW w:type="dxa" w:w="5976"/>
            <w:tcMar>
              <w:top w:w="80" w:type="dxa"/>
              <w:start w:w="100" w:type="dxa"/>
              <w:bottom w:w="80" w:type="dxa"/>
              <w:end w:w="100" w:type="dxa"/>
            </w:tcMar>
            <w:vAlign w:val="center"/>
          </w:tcPr>
          <w:p>
            <w:pPr>
              <w:spacing w:after="0"/>
            </w:pPr>
            <w:r>
              <w:rPr>
                <w:sz w:val="17"/>
              </w:rPr>
              <w:t>Prefer Key Vault or Function app settings with restricted Azure RBAC. Rotate if exposed.</w:t>
            </w:r>
          </w:p>
        </w:tc>
      </w:tr>
      <w:tr>
        <w:tc>
          <w:tcPr>
            <w:tcW w:type="dxa" w:w="3528"/>
            <w:tcMar>
              <w:top w:w="80" w:type="dxa"/>
              <w:start w:w="100" w:type="dxa"/>
              <w:bottom w:w="80" w:type="dxa"/>
              <w:end w:w="100" w:type="dxa"/>
            </w:tcMar>
            <w:vAlign w:val="center"/>
          </w:tcPr>
          <w:p>
            <w:pPr>
              <w:spacing w:after="0"/>
            </w:pPr>
            <w:r>
              <w:rPr>
                <w:sz w:val="17"/>
              </w:rPr>
              <w:t>COATS_VALIDATION_EMAIL_FROM mailbox</w:t>
            </w:r>
          </w:p>
        </w:tc>
        <w:tc>
          <w:tcPr>
            <w:tcW w:type="dxa" w:w="5976"/>
            <w:tcMar>
              <w:top w:w="80" w:type="dxa"/>
              <w:start w:w="100" w:type="dxa"/>
              <w:bottom w:w="80" w:type="dxa"/>
              <w:end w:w="100" w:type="dxa"/>
            </w:tcMar>
            <w:vAlign w:val="center"/>
          </w:tcPr>
          <w:p>
            <w:pPr>
              <w:spacing w:after="0"/>
            </w:pPr>
            <w:r>
              <w:rPr>
                <w:sz w:val="17"/>
              </w:rPr>
              <w:t>Microsoft 365 admin must grant or maintain application Mail.Send permission with admin consent.</w:t>
            </w:r>
          </w:p>
        </w:tc>
      </w:tr>
      <w:tr>
        <w:tc>
          <w:tcPr>
            <w:tcW w:type="dxa" w:w="3528"/>
            <w:tcMar>
              <w:top w:w="80" w:type="dxa"/>
              <w:start w:w="100" w:type="dxa"/>
              <w:bottom w:w="80" w:type="dxa"/>
              <w:end w:w="100" w:type="dxa"/>
            </w:tcMar>
            <w:vAlign w:val="center"/>
          </w:tcPr>
          <w:p>
            <w:pPr>
              <w:spacing w:after="0"/>
            </w:pPr>
            <w:r>
              <w:rPr>
                <w:sz w:val="17"/>
              </w:rPr>
              <w:t>Azure RBAC</w:t>
            </w:r>
          </w:p>
        </w:tc>
        <w:tc>
          <w:tcPr>
            <w:tcW w:type="dxa" w:w="5976"/>
            <w:tcMar>
              <w:top w:w="80" w:type="dxa"/>
              <w:start w:w="100" w:type="dxa"/>
              <w:bottom w:w="80" w:type="dxa"/>
              <w:end w:w="100" w:type="dxa"/>
            </w:tcMar>
            <w:vAlign w:val="center"/>
          </w:tcPr>
          <w:p>
            <w:pPr>
              <w:spacing w:after="0"/>
            </w:pPr>
            <w:r>
              <w:rPr>
                <w:sz w:val="17"/>
              </w:rPr>
              <w:t>Third-party team needs least-privilege access to Data Factory, Function App, Storage, Resource Group RG1, and relevant logs.</w:t>
            </w:r>
          </w:p>
        </w:tc>
      </w:tr>
      <w:tr>
        <w:tc>
          <w:tcPr>
            <w:tcW w:type="dxa" w:w="3528"/>
            <w:tcMar>
              <w:top w:w="80" w:type="dxa"/>
              <w:start w:w="100" w:type="dxa"/>
              <w:bottom w:w="80" w:type="dxa"/>
              <w:end w:w="100" w:type="dxa"/>
            </w:tcMar>
            <w:vAlign w:val="center"/>
          </w:tcPr>
          <w:p>
            <w:pPr>
              <w:spacing w:after="0"/>
            </w:pPr>
            <w:r>
              <w:rPr>
                <w:sz w:val="17"/>
              </w:rPr>
              <w:t>SQL permissions</w:t>
            </w:r>
          </w:p>
        </w:tc>
        <w:tc>
          <w:tcPr>
            <w:tcW w:type="dxa" w:w="5976"/>
            <w:tcMar>
              <w:top w:w="80" w:type="dxa"/>
              <w:start w:w="100" w:type="dxa"/>
              <w:bottom w:w="80" w:type="dxa"/>
              <w:end w:w="100" w:type="dxa"/>
            </w:tcMar>
            <w:vAlign w:val="center"/>
          </w:tcPr>
          <w:p>
            <w:pPr>
              <w:spacing w:after="0"/>
            </w:pPr>
            <w:r>
              <w:rPr>
                <w:sz w:val="17"/>
              </w:rPr>
              <w:t>Third-party team needs enough P21Import permission to deploy/alter the staging and receipt procedures, or a DBA must run scripts for them.</w:t>
            </w:r>
          </w:p>
        </w:tc>
      </w:tr>
    </w:tbl>
    <w:p/>
    <w:p>
      <w:pPr>
        <w:pStyle w:val="Heading1"/>
        <w:keepNext/>
      </w:pPr>
      <w:r>
        <w:t>Third-Party Takeover Checklist</w:t>
      </w:r>
    </w:p>
    <w:p>
      <w:pPr>
        <w:pStyle w:val="ListBullet"/>
      </w:pPr>
      <w:r>
        <w:t>Confirm the third-party team can log in to the Azure subscription and RG1.</w:t>
      </w:r>
    </w:p>
    <w:p>
      <w:pPr>
        <w:pStyle w:val="ListBullet"/>
      </w:pPr>
      <w:r>
        <w:t>Confirm they can view and redeploy Function App func-coats-mexico-20260401dshao.</w:t>
      </w:r>
    </w:p>
    <w:p>
      <w:pPr>
        <w:pStyle w:val="ListBullet"/>
      </w:pPr>
      <w:r>
        <w:t>Confirm they can view and run ADF pipeline Coats_Mexico_Shipment_Stage_And_Validate.</w:t>
      </w:r>
    </w:p>
    <w:p>
      <w:pPr>
        <w:pStyle w:val="ListBullet"/>
      </w:pPr>
      <w:r>
        <w:t>Confirm they can access application logs for Azure Functions and ADF Monitor.</w:t>
      </w:r>
    </w:p>
    <w:p>
      <w:pPr>
        <w:pStyle w:val="ListBullet"/>
      </w:pPr>
      <w:r>
        <w:t>Confirm they can renew the Microsoft Graph subscription before expiration.</w:t>
      </w:r>
    </w:p>
    <w:p>
      <w:pPr>
        <w:pStyle w:val="ListBullet"/>
      </w:pPr>
      <w:r>
        <w:t>Confirm they have the secret rotation plan for the Graph app, SQL login, Function keys, and storage connection string.</w:t>
      </w:r>
    </w:p>
    <w:p>
      <w:pPr>
        <w:pStyle w:val="ListBullet"/>
      </w:pPr>
      <w:r>
        <w:t>Confirm they have SQL deployment access or a named DBA contact for P21Import.</w:t>
      </w:r>
    </w:p>
    <w:p>
      <w:pPr>
        <w:pStyle w:val="ListBullet"/>
      </w:pPr>
      <w:r>
        <w:t>Confirm they understand that document_line_bin / bin allocations are not automated in this version.</w:t>
      </w:r>
    </w:p>
    <w:p>
      <w:pPr>
        <w:pStyle w:val="ListBullet"/>
      </w:pPr>
      <w:r>
        <w:t>Run one controlled test upload using a copy of the sample workbook and verify success/failure behavior.</w:t>
      </w:r>
    </w:p>
    <w:p>
      <w:pPr>
        <w:pStyle w:val="ListBullet"/>
      </w:pPr>
      <w:r>
        <w:t>Document the business owner who approves moving from Unapproved receipt records to the next P21 step.</w:t>
      </w:r>
    </w:p>
    <w:p>
      <w:pPr>
        <w:pStyle w:val="Heading1"/>
        <w:keepNext/>
      </w:pPr>
      <w:r>
        <w:t>Known Limitations and Future Enhancements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60"/>
        <w:gridCol w:w="3360"/>
        <w:gridCol w:w="3360"/>
      </w:tblGrid>
      <w:tr>
        <w:trPr>
          <w:tblHeader w:val="true"/>
        </w:trPr>
        <w:tc>
          <w:tcPr>
            <w:tcW w:type="dxa" w:w="2520"/>
            <w:shd w:fill="1F4E79"/>
            <w:tcMar>
              <w:top w:w="80" w:type="dxa"/>
              <w:start w:w="100" w:type="dxa"/>
              <w:bottom w:w="80" w:type="dxa"/>
              <w:end w:w="100" w:type="dxa"/>
            </w:tcMar>
            <w:vAlign w:val="center"/>
          </w:tcPr>
          <w:p>
            <w:pPr>
              <w:jc w:val="center"/>
            </w:pPr>
            <w:r>
              <w:rPr>
                <w:b/>
                <w:i w:val="0"/>
                <w:color w:val="FFFFFF"/>
                <w:sz w:val="17"/>
              </w:rPr>
              <w:t>Item</w:t>
            </w:r>
          </w:p>
        </w:tc>
        <w:tc>
          <w:tcPr>
            <w:tcW w:type="dxa" w:w="3240"/>
            <w:shd w:fill="1F4E79"/>
            <w:tcMar>
              <w:top w:w="80" w:type="dxa"/>
              <w:start w:w="100" w:type="dxa"/>
              <w:bottom w:w="80" w:type="dxa"/>
              <w:end w:w="100" w:type="dxa"/>
            </w:tcMar>
            <w:vAlign w:val="center"/>
          </w:tcPr>
          <w:p>
            <w:pPr>
              <w:jc w:val="center"/>
            </w:pPr>
            <w:r>
              <w:rPr>
                <w:b/>
                <w:i w:val="0"/>
                <w:color w:val="FFFFFF"/>
                <w:sz w:val="17"/>
              </w:rPr>
              <w:t>Current state</w:t>
            </w:r>
          </w:p>
        </w:tc>
        <w:tc>
          <w:tcPr>
            <w:tcW w:type="dxa" w:w="3744"/>
            <w:shd w:fill="1F4E79"/>
            <w:tcMar>
              <w:top w:w="80" w:type="dxa"/>
              <w:start w:w="100" w:type="dxa"/>
              <w:bottom w:w="80" w:type="dxa"/>
              <w:end w:w="100" w:type="dxa"/>
            </w:tcMar>
            <w:vAlign w:val="center"/>
          </w:tcPr>
          <w:p>
            <w:pPr>
              <w:jc w:val="center"/>
            </w:pPr>
            <w:r>
              <w:rPr>
                <w:b/>
                <w:i w:val="0"/>
                <w:color w:val="FFFFFF"/>
                <w:sz w:val="17"/>
              </w:rPr>
              <w:t>Future option</w:t>
            </w:r>
          </w:p>
        </w:tc>
      </w:tr>
      <w:tr>
        <w:tc>
          <w:tcPr>
            <w:tcW w:type="dxa" w:w="2520"/>
            <w:tcMar>
              <w:top w:w="80" w:type="dxa"/>
              <w:start w:w="100" w:type="dxa"/>
              <w:bottom w:w="80" w:type="dxa"/>
              <w:end w:w="100" w:type="dxa"/>
            </w:tcMar>
            <w:vAlign w:val="center"/>
          </w:tcPr>
          <w:p>
            <w:pPr>
              <w:spacing w:after="0"/>
            </w:pPr>
            <w:r>
              <w:rPr>
                <w:sz w:val="17"/>
              </w:rPr>
              <w:t>Graph subscription renewal</w:t>
            </w:r>
          </w:p>
        </w:tc>
        <w:tc>
          <w:tcPr>
            <w:tcW w:type="dxa" w:w="3240"/>
            <w:tcMar>
              <w:top w:w="80" w:type="dxa"/>
              <w:start w:w="100" w:type="dxa"/>
              <w:bottom w:w="80" w:type="dxa"/>
              <w:end w:w="100" w:type="dxa"/>
            </w:tcMar>
            <w:vAlign w:val="center"/>
          </w:tcPr>
          <w:p>
            <w:pPr>
              <w:spacing w:after="0"/>
            </w:pPr>
            <w:r>
              <w:rPr>
                <w:sz w:val="17"/>
              </w:rPr>
              <w:t>Manual/redeployment-driven renewal.</w:t>
            </w:r>
          </w:p>
        </w:tc>
        <w:tc>
          <w:tcPr>
            <w:tcW w:type="dxa" w:w="3744"/>
            <w:tcMar>
              <w:top w:w="80" w:type="dxa"/>
              <w:start w:w="100" w:type="dxa"/>
              <w:bottom w:w="80" w:type="dxa"/>
              <w:end w:w="100" w:type="dxa"/>
            </w:tcMar>
            <w:vAlign w:val="center"/>
          </w:tcPr>
          <w:p>
            <w:pPr>
              <w:spacing w:after="0"/>
            </w:pPr>
            <w:r>
              <w:rPr>
                <w:sz w:val="17"/>
              </w:rPr>
              <w:t>Add scheduled automation to renew before expiration.</w:t>
            </w:r>
          </w:p>
        </w:tc>
      </w:tr>
      <w:tr>
        <w:tc>
          <w:tcPr>
            <w:tcW w:type="dxa" w:w="2520"/>
            <w:tcMar>
              <w:top w:w="80" w:type="dxa"/>
              <w:start w:w="100" w:type="dxa"/>
              <w:bottom w:w="80" w:type="dxa"/>
              <w:end w:w="100" w:type="dxa"/>
            </w:tcMar>
            <w:vAlign w:val="center"/>
          </w:tcPr>
          <w:p>
            <w:pPr>
              <w:spacing w:after="0"/>
            </w:pPr>
            <w:r>
              <w:rPr>
                <w:sz w:val="17"/>
              </w:rPr>
              <w:t>Bin allocations</w:t>
            </w:r>
          </w:p>
        </w:tc>
        <w:tc>
          <w:tcPr>
            <w:tcW w:type="dxa" w:w="3240"/>
            <w:tcMar>
              <w:top w:w="80" w:type="dxa"/>
              <w:start w:w="100" w:type="dxa"/>
              <w:bottom w:w="80" w:type="dxa"/>
              <w:end w:w="100" w:type="dxa"/>
            </w:tcMar>
            <w:vAlign w:val="center"/>
          </w:tcPr>
          <w:p>
            <w:pPr>
              <w:spacing w:after="0"/>
            </w:pPr>
            <w:r>
              <w:rPr>
                <w:sz w:val="17"/>
              </w:rPr>
              <w:t>Manual; document_line_bin insertion skipped.</w:t>
            </w:r>
          </w:p>
        </w:tc>
        <w:tc>
          <w:tcPr>
            <w:tcW w:type="dxa" w:w="3744"/>
            <w:tcMar>
              <w:top w:w="80" w:type="dxa"/>
              <w:start w:w="100" w:type="dxa"/>
              <w:bottom w:w="80" w:type="dxa"/>
              <w:end w:w="100" w:type="dxa"/>
            </w:tcMar>
            <w:vAlign w:val="center"/>
          </w:tcPr>
          <w:p>
            <w:pPr>
              <w:spacing w:after="0"/>
            </w:pPr>
            <w:r>
              <w:rPr>
                <w:sz w:val="17"/>
              </w:rPr>
              <w:t>Automate after P21 business validation and explicit signoff.</w:t>
            </w:r>
          </w:p>
        </w:tc>
      </w:tr>
      <w:tr>
        <w:tc>
          <w:tcPr>
            <w:tcW w:type="dxa" w:w="2520"/>
            <w:tcMar>
              <w:top w:w="80" w:type="dxa"/>
              <w:start w:w="100" w:type="dxa"/>
              <w:bottom w:w="80" w:type="dxa"/>
              <w:end w:w="100" w:type="dxa"/>
            </w:tcMar>
            <w:vAlign w:val="center"/>
          </w:tcPr>
          <w:p>
            <w:pPr>
              <w:spacing w:after="0"/>
            </w:pPr>
            <w:r>
              <w:rPr>
                <w:sz w:val="17"/>
              </w:rPr>
              <w:t>P21 production workflow</w:t>
            </w:r>
          </w:p>
        </w:tc>
        <w:tc>
          <w:tcPr>
            <w:tcW w:type="dxa" w:w="3240"/>
            <w:tcMar>
              <w:top w:w="80" w:type="dxa"/>
              <w:start w:w="100" w:type="dxa"/>
              <w:bottom w:w="80" w:type="dxa"/>
              <w:end w:w="100" w:type="dxa"/>
            </w:tcMar>
            <w:vAlign w:val="center"/>
          </w:tcPr>
          <w:p>
            <w:pPr>
              <w:spacing w:after="0"/>
            </w:pPr>
            <w:r>
              <w:rPr>
                <w:sz w:val="17"/>
              </w:rPr>
              <w:t>Creates P21Import receipt records only; leaves container receipt Unapproved.</w:t>
            </w:r>
          </w:p>
        </w:tc>
        <w:tc>
          <w:tcPr>
            <w:tcW w:type="dxa" w:w="3744"/>
            <w:tcMar>
              <w:top w:w="80" w:type="dxa"/>
              <w:start w:w="100" w:type="dxa"/>
              <w:bottom w:w="80" w:type="dxa"/>
              <w:end w:w="100" w:type="dxa"/>
            </w:tcMar>
            <w:vAlign w:val="center"/>
          </w:tcPr>
          <w:p>
            <w:pPr>
              <w:spacing w:after="0"/>
            </w:pPr>
            <w:r>
              <w:rPr>
                <w:sz w:val="17"/>
              </w:rPr>
              <w:t>Add formal approval workflow or P21-side automation after governance approval.</w:t>
            </w:r>
          </w:p>
        </w:tc>
      </w:tr>
      <w:tr>
        <w:tc>
          <w:tcPr>
            <w:tcW w:type="dxa" w:w="2520"/>
            <w:tcMar>
              <w:top w:w="80" w:type="dxa"/>
              <w:start w:w="100" w:type="dxa"/>
              <w:bottom w:w="80" w:type="dxa"/>
              <w:end w:w="100" w:type="dxa"/>
            </w:tcMar>
            <w:vAlign w:val="center"/>
          </w:tcPr>
          <w:p>
            <w:pPr>
              <w:spacing w:after="0"/>
            </w:pPr>
            <w:r>
              <w:rPr>
                <w:sz w:val="17"/>
              </w:rPr>
              <w:t>Replay tooling</w:t>
            </w:r>
          </w:p>
        </w:tc>
        <w:tc>
          <w:tcPr>
            <w:tcW w:type="dxa" w:w="3240"/>
            <w:tcMar>
              <w:top w:w="80" w:type="dxa"/>
              <w:start w:w="100" w:type="dxa"/>
              <w:bottom w:w="80" w:type="dxa"/>
              <w:end w:w="100" w:type="dxa"/>
            </w:tcMar>
            <w:vAlign w:val="center"/>
          </w:tcPr>
          <w:p>
            <w:pPr>
              <w:spacing w:after="0"/>
            </w:pPr>
            <w:r>
              <w:rPr>
                <w:sz w:val="17"/>
              </w:rPr>
              <w:t>Possible through SharePoint item ID or raw Blob, but not packaged as a manager-facing button.</w:t>
            </w:r>
          </w:p>
        </w:tc>
        <w:tc>
          <w:tcPr>
            <w:tcW w:type="dxa" w:w="3744"/>
            <w:tcMar>
              <w:top w:w="80" w:type="dxa"/>
              <w:start w:w="100" w:type="dxa"/>
              <w:bottom w:w="80" w:type="dxa"/>
              <w:end w:w="100" w:type="dxa"/>
            </w:tcMar>
            <w:vAlign w:val="center"/>
          </w:tcPr>
          <w:p>
            <w:pPr>
              <w:spacing w:after="0"/>
            </w:pPr>
            <w:r>
              <w:rPr>
                <w:sz w:val="17"/>
              </w:rPr>
              <w:t>Build a small admin runbook or Function route for controlled replay.</w:t>
            </w:r>
          </w:p>
        </w:tc>
      </w:tr>
      <w:tr>
        <w:tc>
          <w:tcPr>
            <w:tcW w:type="dxa" w:w="2520"/>
            <w:tcMar>
              <w:top w:w="80" w:type="dxa"/>
              <w:start w:w="100" w:type="dxa"/>
              <w:bottom w:w="80" w:type="dxa"/>
              <w:end w:w="100" w:type="dxa"/>
            </w:tcMar>
            <w:vAlign w:val="center"/>
          </w:tcPr>
          <w:p>
            <w:pPr>
              <w:spacing w:after="0"/>
            </w:pPr>
            <w:r>
              <w:rPr>
                <w:sz w:val="17"/>
              </w:rPr>
              <w:t>Secret storage</w:t>
            </w:r>
          </w:p>
        </w:tc>
        <w:tc>
          <w:tcPr>
            <w:tcW w:type="dxa" w:w="3240"/>
            <w:tcMar>
              <w:top w:w="80" w:type="dxa"/>
              <w:start w:w="100" w:type="dxa"/>
              <w:bottom w:w="80" w:type="dxa"/>
              <w:end w:w="100" w:type="dxa"/>
            </w:tcMar>
            <w:vAlign w:val="center"/>
          </w:tcPr>
          <w:p>
            <w:pPr>
              <w:spacing w:after="0"/>
            </w:pPr>
            <w:r>
              <w:rPr>
                <w:sz w:val="17"/>
              </w:rPr>
              <w:t>Some values are deployed as Function app settings by script.</w:t>
            </w:r>
          </w:p>
        </w:tc>
        <w:tc>
          <w:tcPr>
            <w:tcW w:type="dxa" w:w="3744"/>
            <w:tcMar>
              <w:top w:w="80" w:type="dxa"/>
              <w:start w:w="100" w:type="dxa"/>
              <w:bottom w:w="80" w:type="dxa"/>
              <w:end w:w="100" w:type="dxa"/>
            </w:tcMar>
            <w:vAlign w:val="center"/>
          </w:tcPr>
          <w:p>
            <w:pPr>
              <w:spacing w:after="0"/>
            </w:pPr>
            <w:r>
              <w:rPr>
                <w:sz w:val="17"/>
              </w:rPr>
              <w:t>Move all secrets into Azure Key Vault references where feasible.</w:t>
            </w:r>
          </w:p>
        </w:tc>
      </w:tr>
    </w:tbl>
    <w:p/>
    <w:p>
      <w:pPr>
        <w:pStyle w:val="Heading1"/>
        <w:keepNext/>
      </w:pPr>
      <w:r>
        <w:t>Appendix: Quick Local Extractor Test</w:t>
      </w:r>
    </w:p>
    <w:p>
      <w:r>
        <w:t>The sample workbook can be tested locally with overrides because its original name does not follow the future required date/trailer filename pattern:</w:t>
      </w:r>
    </w:p>
    <w:p>
      <w:pPr>
        <w:pStyle w:val="Code"/>
        <w:spacing w:after="160"/>
        <w:ind w:left="288"/>
      </w:pPr>
      <w:r>
        <w:rPr>
          <w:rFonts w:ascii="Consolas" w:hAnsi="Consolas" w:eastAsia="Consolas"/>
          <w:sz w:val="17"/>
        </w:rPr>
        <w:t>python src\extract_coats_mexico_workbook.py ^</w:t>
      </w:r>
      <w:r>
        <w:br/>
      </w:r>
      <w:r>
        <w:rPr>
          <w:rFonts w:ascii="Consolas" w:hAnsi="Consolas" w:eastAsia="Consolas"/>
          <w:sz w:val="17"/>
        </w:rPr>
        <w:t xml:space="preserve">  "Detalle Expo Komar 04.17.26.xlsx" ^</w:t>
      </w:r>
      <w:r>
        <w:br/>
      </w:r>
      <w:r>
        <w:rPr>
          <w:rFonts w:ascii="Consolas" w:hAnsi="Consolas" w:eastAsia="Consolas"/>
          <w:sz w:val="17"/>
        </w:rPr>
        <w:t xml:space="preserve">  --shipment-date 2026-04-17 ^</w:t>
      </w:r>
      <w:r>
        <w:br/>
      </w:r>
      <w:r>
        <w:rPr>
          <w:rFonts w:ascii="Consolas" w:hAnsi="Consolas" w:eastAsia="Consolas"/>
          <w:sz w:val="17"/>
        </w:rPr>
        <w:t xml:space="preserve">  --trailer-name TM672 ^</w:t>
      </w:r>
      <w:r>
        <w:br/>
      </w:r>
      <w:r>
        <w:rPr>
          <w:rFonts w:ascii="Consolas" w:hAnsi="Consolas" w:eastAsia="Consolas"/>
          <w:sz w:val="17"/>
        </w:rPr>
        <w:t xml:space="preserve">  --output coats_mexico_extract.json</w:t>
      </w:r>
      <w:r>
        <w:br/>
      </w:r>
      <w:r>
        <w:rPr>
          <w:rFonts w:ascii="Consolas" w:hAnsi="Consolas" w:eastAsia="Consolas"/>
          <w:sz w:val="17"/>
        </w:rPr>
      </w:r>
      <w:r>
        <w:br/>
      </w:r>
      <w:r>
        <w:rPr>
          <w:rFonts w:ascii="Consolas" w:hAnsi="Consolas" w:eastAsia="Consolas"/>
          <w:sz w:val="17"/>
        </w:rPr>
        <w:t># Expected sample behavior:</w:t>
      </w:r>
      <w:r>
        <w:br/>
      </w:r>
      <w:r>
        <w:rPr>
          <w:rFonts w:ascii="Consolas" w:hAnsi="Consolas" w:eastAsia="Consolas"/>
          <w:sz w:val="17"/>
        </w:rPr>
        <w:t># raw_lines: 116</w:t>
      </w:r>
      <w:r>
        <w:br/>
      </w:r>
      <w:r>
        <w:rPr>
          <w:rFonts w:ascii="Consolas" w:hAnsi="Consolas" w:eastAsia="Consolas"/>
          <w:sz w:val="17"/>
        </w:rPr>
        <w:t># pallet_lines: 120</w:t>
      </w:r>
      <w:r>
        <w:br/>
      </w:r>
      <w:r>
        <w:rPr>
          <w:rFonts w:ascii="Consolas" w:hAnsi="Consolas" w:eastAsia="Consolas"/>
          <w:sz w:val="17"/>
        </w:rPr>
        <w:t># A10 comment splits O-8, O-9, O-10, O-11</w:t>
      </w:r>
      <w:r>
        <w:br/>
      </w:r>
      <w:r>
        <w:rPr>
          <w:rFonts w:ascii="Consolas" w:hAnsi="Consolas" w:eastAsia="Consolas"/>
          <w:sz w:val="17"/>
        </w:rPr>
        <w:t># A17 comment splits O-12, O-13</w:t>
      </w:r>
      <w:r>
        <w:br/>
      </w:r>
    </w:p>
    <w:p>
      <w:pPr>
        <w:pStyle w:val="Heading1"/>
        <w:keepNext/>
      </w:pPr>
      <w:r>
        <w:t>Document Control</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040"/>
        <w:gridCol w:w="5040"/>
      </w:tblGrid>
      <w:tr>
        <w:trPr>
          <w:tblHeader w:val="true"/>
        </w:trPr>
        <w:tc>
          <w:tcPr>
            <w:tcW w:type="dxa" w:w="2880"/>
            <w:shd w:fill="1F4E79"/>
            <w:tcMar>
              <w:top w:w="80" w:type="dxa"/>
              <w:start w:w="100" w:type="dxa"/>
              <w:bottom w:w="80" w:type="dxa"/>
              <w:end w:w="100" w:type="dxa"/>
            </w:tcMar>
          </w:tcPr>
          <w:p>
            <w:r>
              <w:rPr>
                <w:b/>
                <w:i w:val="0"/>
                <w:color w:val="FFFFFF"/>
              </w:rPr>
              <w:t>Field</w:t>
            </w:r>
          </w:p>
        </w:tc>
        <w:tc>
          <w:tcPr>
            <w:tcW w:type="dxa" w:w="6336"/>
            <w:shd w:fill="1F4E79"/>
            <w:tcMar>
              <w:top w:w="80" w:type="dxa"/>
              <w:start w:w="100" w:type="dxa"/>
              <w:bottom w:w="80" w:type="dxa"/>
              <w:end w:w="100" w:type="dxa"/>
            </w:tcMar>
          </w:tcPr>
          <w:p>
            <w:r>
              <w:rPr>
                <w:b/>
                <w:i w:val="0"/>
                <w:color w:val="FFFFFF"/>
              </w:rPr>
              <w:t>Value</w:t>
            </w:r>
          </w:p>
        </w:tc>
      </w:tr>
      <w:tr>
        <w:tc>
          <w:tcPr>
            <w:tcW w:type="dxa" w:w="2880"/>
            <w:shd w:fill="F2F2F2"/>
            <w:vAlign w:val="center"/>
            <w:tcMar>
              <w:top w:w="80" w:type="dxa"/>
              <w:start w:w="100" w:type="dxa"/>
              <w:bottom w:w="80" w:type="dxa"/>
              <w:end w:w="100" w:type="dxa"/>
            </w:tcMar>
          </w:tcPr>
          <w:p>
            <w:pPr>
              <w:spacing w:after="0"/>
            </w:pPr>
            <w:r>
              <w:rPr>
                <w:b/>
                <w:sz w:val="18"/>
              </w:rPr>
              <w:t>Document owner</w:t>
            </w:r>
          </w:p>
        </w:tc>
        <w:tc>
          <w:tcPr>
            <w:tcW w:type="dxa" w:w="6336"/>
            <w:vAlign w:val="center"/>
            <w:tcMar>
              <w:top w:w="80" w:type="dxa"/>
              <w:start w:w="100" w:type="dxa"/>
              <w:bottom w:w="80" w:type="dxa"/>
              <w:end w:w="100" w:type="dxa"/>
            </w:tcMar>
          </w:tcPr>
          <w:p>
            <w:pPr>
              <w:spacing w:after="0"/>
            </w:pPr>
            <w:r>
              <w:rPr>
                <w:sz w:val="18"/>
              </w:rPr>
              <w:t>Business manager / designated Azure support owner</w:t>
            </w:r>
          </w:p>
        </w:tc>
      </w:tr>
      <w:tr>
        <w:tc>
          <w:tcPr>
            <w:tcW w:type="dxa" w:w="2880"/>
            <w:shd w:fill="F2F2F2"/>
            <w:vAlign w:val="center"/>
            <w:tcMar>
              <w:top w:w="80" w:type="dxa"/>
              <w:start w:w="100" w:type="dxa"/>
              <w:bottom w:w="80" w:type="dxa"/>
              <w:end w:w="100" w:type="dxa"/>
            </w:tcMar>
          </w:tcPr>
          <w:p>
            <w:pPr>
              <w:spacing w:after="0"/>
            </w:pPr>
            <w:r>
              <w:rPr>
                <w:b/>
                <w:sz w:val="18"/>
              </w:rPr>
              <w:t>Technical owner</w:t>
            </w:r>
          </w:p>
        </w:tc>
        <w:tc>
          <w:tcPr>
            <w:tcW w:type="dxa" w:w="6336"/>
            <w:vAlign w:val="center"/>
            <w:tcMar>
              <w:top w:w="80" w:type="dxa"/>
              <w:start w:w="100" w:type="dxa"/>
              <w:bottom w:w="80" w:type="dxa"/>
              <w:end w:w="100" w:type="dxa"/>
            </w:tcMar>
          </w:tcPr>
          <w:p>
            <w:pPr>
              <w:spacing w:after="0"/>
            </w:pPr>
            <w:r>
              <w:rPr>
                <w:sz w:val="18"/>
              </w:rPr>
              <w:t>Third-party IT team after handoff</w:t>
            </w:r>
          </w:p>
        </w:tc>
      </w:tr>
      <w:tr>
        <w:tc>
          <w:tcPr>
            <w:tcW w:type="dxa" w:w="2880"/>
            <w:shd w:fill="F2F2F2"/>
            <w:vAlign w:val="center"/>
            <w:tcMar>
              <w:top w:w="80" w:type="dxa"/>
              <w:start w:w="100" w:type="dxa"/>
              <w:bottom w:w="80" w:type="dxa"/>
              <w:end w:w="100" w:type="dxa"/>
            </w:tcMar>
          </w:tcPr>
          <w:p>
            <w:pPr>
              <w:spacing w:after="0"/>
            </w:pPr>
            <w:r>
              <w:rPr>
                <w:b/>
                <w:sz w:val="18"/>
              </w:rPr>
              <w:t>Prepared date</w:t>
            </w:r>
          </w:p>
        </w:tc>
        <w:tc>
          <w:tcPr>
            <w:tcW w:type="dxa" w:w="6336"/>
            <w:vAlign w:val="center"/>
            <w:tcMar>
              <w:top w:w="80" w:type="dxa"/>
              <w:start w:w="100" w:type="dxa"/>
              <w:bottom w:w="80" w:type="dxa"/>
              <w:end w:w="100" w:type="dxa"/>
            </w:tcMar>
          </w:tcPr>
          <w:p>
            <w:pPr>
              <w:spacing w:after="0"/>
            </w:pPr>
            <w:r>
              <w:rPr>
                <w:sz w:val="18"/>
              </w:rPr>
              <w:t>May 13, 2026</w:t>
            </w:r>
          </w:p>
        </w:tc>
      </w:tr>
      <w:tr>
        <w:tc>
          <w:tcPr>
            <w:tcW w:type="dxa" w:w="2880"/>
            <w:shd w:fill="F2F2F2"/>
            <w:vAlign w:val="center"/>
            <w:tcMar>
              <w:top w:w="80" w:type="dxa"/>
              <w:start w:w="100" w:type="dxa"/>
              <w:bottom w:w="80" w:type="dxa"/>
              <w:end w:w="100" w:type="dxa"/>
            </w:tcMar>
          </w:tcPr>
          <w:p>
            <w:pPr>
              <w:spacing w:after="0"/>
            </w:pPr>
            <w:r>
              <w:rPr>
                <w:b/>
                <w:sz w:val="18"/>
              </w:rPr>
              <w:t>Source project folder</w:t>
            </w:r>
          </w:p>
        </w:tc>
        <w:tc>
          <w:tcPr>
            <w:tcW w:type="dxa" w:w="6336"/>
            <w:vAlign w:val="center"/>
            <w:tcMar>
              <w:top w:w="80" w:type="dxa"/>
              <w:start w:w="100" w:type="dxa"/>
              <w:bottom w:w="80" w:type="dxa"/>
              <w:end w:w="100" w:type="dxa"/>
            </w:tcMar>
          </w:tcPr>
          <w:p>
            <w:pPr>
              <w:spacing w:after="0"/>
            </w:pPr>
            <w:r>
              <w:rPr>
                <w:sz w:val="18"/>
              </w:rPr>
              <w:t>C:\Users\DanShao\Projects\azure\coats_mexico</w:t>
            </w:r>
          </w:p>
        </w:tc>
      </w:tr>
      <w:tr>
        <w:tc>
          <w:tcPr>
            <w:tcW w:type="dxa" w:w="2880"/>
            <w:shd w:fill="F2F2F2"/>
            <w:vAlign w:val="center"/>
            <w:tcMar>
              <w:top w:w="80" w:type="dxa"/>
              <w:start w:w="100" w:type="dxa"/>
              <w:bottom w:w="80" w:type="dxa"/>
              <w:end w:w="100" w:type="dxa"/>
            </w:tcMar>
          </w:tcPr>
          <w:p>
            <w:pPr>
              <w:spacing w:after="0"/>
            </w:pPr>
            <w:r>
              <w:rPr>
                <w:b/>
                <w:sz w:val="18"/>
              </w:rPr>
              <w:t>Original SOP path</w:t>
            </w:r>
          </w:p>
        </w:tc>
        <w:tc>
          <w:tcPr>
            <w:tcW w:type="dxa" w:w="6336"/>
            <w:vAlign w:val="center"/>
            <w:tcMar>
              <w:top w:w="80" w:type="dxa"/>
              <w:start w:w="100" w:type="dxa"/>
              <w:bottom w:w="80" w:type="dxa"/>
              <w:end w:w="100" w:type="dxa"/>
            </w:tcMar>
          </w:tcPr>
          <w:p>
            <w:pPr>
              <w:spacing w:after="0"/>
            </w:pPr>
            <w:r>
              <w:rPr>
                <w:sz w:val="18"/>
              </w:rPr>
              <w:t>\\kasvrw2k8fs\Users\DShao\SOP\Azure Coats Mexico.docx</w:t>
            </w:r>
          </w:p>
        </w:tc>
      </w:tr>
      <w:tr>
        <w:tc>
          <w:tcPr>
            <w:tcW w:type="dxa" w:w="2880"/>
            <w:shd w:fill="F2F2F2"/>
            <w:vAlign w:val="center"/>
            <w:tcMar>
              <w:top w:w="80" w:type="dxa"/>
              <w:start w:w="100" w:type="dxa"/>
              <w:bottom w:w="80" w:type="dxa"/>
              <w:end w:w="100" w:type="dxa"/>
            </w:tcMar>
          </w:tcPr>
          <w:p>
            <w:pPr>
              <w:spacing w:after="0"/>
            </w:pPr>
            <w:r>
              <w:rPr>
                <w:b/>
                <w:sz w:val="18"/>
              </w:rPr>
              <w:t>Review frequency</w:t>
            </w:r>
          </w:p>
        </w:tc>
        <w:tc>
          <w:tcPr>
            <w:tcW w:type="dxa" w:w="6336"/>
            <w:vAlign w:val="center"/>
            <w:tcMar>
              <w:top w:w="80" w:type="dxa"/>
              <w:start w:w="100" w:type="dxa"/>
              <w:bottom w:w="80" w:type="dxa"/>
              <w:end w:w="100" w:type="dxa"/>
            </w:tcMar>
          </w:tcPr>
          <w:p>
            <w:pPr>
              <w:spacing w:after="0"/>
            </w:pPr>
            <w:r>
              <w:rPr>
                <w:sz w:val="18"/>
              </w:rPr>
              <w:t>Monthly, and whenever the Graph subscription, Graph secret, SQL login, or ADF pipeline changes.</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Internal handoff document - no secrets stored in this file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Azure Coats Mexico Shipment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