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sz w:val="24"/>
          <w:szCs w:val="24"/>
        </w:rPr>
        <w:t xml:space="preserve">Project Design Phase</w:t>
      </w:r>
    </w:p>
    <w:p>
      <w:pPr>
        <w:spacing w:after="240" w:before="0"/>
        <w:jc w:val="center"/>
      </w:pPr>
      <w:r>
        <w:rPr>
          <w:rFonts w:ascii="Arial" w:cs="Arial" w:eastAsia="Arial" w:hAnsi="Arial"/>
          <w:b/>
          <w:bCs/>
          <w:sz w:val="24"/>
          <w:szCs w:val="24"/>
        </w:rPr>
        <w:t xml:space="preserve">Proposed Solution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Date</w:t>
            </w:r>
          </w:p>
        </w:tc>
        <w:tc>
          <w:tcPr>
            <w:tcW w:type="dxa" w:w="486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28 September 2026</w:t>
            </w:r>
          </w:p>
        </w:tc>
      </w:tr>
      <w:tr>
        <w:tc>
          <w:tcPr>
            <w:tcW w:type="dxa" w:w="45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Team ID</w:t>
            </w:r>
          </w:p>
        </w:tc>
        <w:tc>
          <w:tcPr>
            <w:tcW w:type="dxa" w:w="486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SWTID-2026-5228</w:t>
            </w:r>
          </w:p>
        </w:tc>
      </w:tr>
      <w:tr>
        <w:tc>
          <w:tcPr>
            <w:tcW w:type="dxa" w:w="45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Project Name</w:t>
            </w:r>
          </w:p>
        </w:tc>
        <w:tc>
          <w:tcPr>
            <w:tcW w:type="dxa" w:w="486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Import Data using Transform Maps (Spreadsheet)</w:t>
            </w:r>
          </w:p>
        </w:tc>
      </w:tr>
      <w:tr>
        <w:tc>
          <w:tcPr>
            <w:tcW w:type="dxa" w:w="45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Maximum Marks</w:t>
            </w:r>
          </w:p>
        </w:tc>
        <w:tc>
          <w:tcPr>
            <w:tcW w:type="dxa" w:w="486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2 Marks</w:t>
            </w:r>
          </w:p>
        </w:tc>
      </w:tr>
    </w:tbl>
    <w:p>
      <w:pPr>
        <w:spacing w:after="120" w:before="300"/>
      </w:pPr>
      <w:r>
        <w:rPr>
          <w:rFonts w:ascii="Arial" w:cs="Arial" w:eastAsia="Arial" w:hAnsi="Arial"/>
          <w:b/>
          <w:bCs/>
          <w:sz w:val="22"/>
          <w:szCs w:val="22"/>
        </w:rPr>
        <w:t xml:space="preserve">Proposed Solution Template:</w:t>
      </w:r>
    </w:p>
    <w:p>
      <w:pPr>
        <w:spacing w:after="120" w:before="0"/>
      </w:pPr>
      <w:r>
        <w:rPr>
          <w:rFonts w:ascii="Arial" w:cs="Arial" w:eastAsia="Arial" w:hAnsi="Arial"/>
          <w:sz w:val="22"/>
          <w:szCs w:val="22"/>
        </w:rPr>
        <w:t xml:space="preserve">Project team shall fill the following information in the proposed solution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60"/>
      </w:tblGrid>
      <w:tr>
        <w:trPr>
          <w:tblHeader/>
        </w:trPr>
        <w:tc>
          <w:tcPr>
            <w:tcW w:type="dxa" w:w="900"/>
            <w:tcBorders>
              <w:top w:val="single" w:color="000000" w:sz="6"/>
              <w:left w:val="single" w:color="000000" w:sz="6"/>
              <w:bottom w:val="single" w:color="000000" w:sz="6"/>
              <w:right w:val="single" w:color="000000" w:sz="6"/>
            </w:tcBorders>
            <w:shd w:fill="D9D9D9" w:color="auto" w:val="clear"/>
            <w:tcMar>
              <w:top w:type="dxa" w:w="50"/>
              <w:left w:type="dxa" w:w="100"/>
              <w:bottom w:type="dxa" w:w="50"/>
              <w:right w:type="dxa" w:w="100"/>
            </w:tcMar>
            <w:vAlign w:val="top"/>
          </w:tcPr>
          <w:p>
            <w:pPr>
              <w:spacing w:after="0" w:before="0"/>
            </w:pPr>
            <w:r>
              <w:rPr>
                <w:rFonts w:ascii="Arial" w:cs="Arial" w:eastAsia="Arial" w:hAnsi="Arial"/>
                <w:b/>
                <w:bCs/>
                <w:sz w:val="20"/>
                <w:szCs w:val="20"/>
              </w:rPr>
              <w:t xml:space="preserve">S.No.</w:t>
            </w:r>
          </w:p>
        </w:tc>
        <w:tc>
          <w:tcPr>
            <w:tcW w:type="dxa" w:w="2900"/>
            <w:tcBorders>
              <w:top w:val="single" w:color="000000" w:sz="6"/>
              <w:left w:val="single" w:color="000000" w:sz="6"/>
              <w:bottom w:val="single" w:color="000000" w:sz="6"/>
              <w:right w:val="single" w:color="000000" w:sz="6"/>
            </w:tcBorders>
            <w:shd w:fill="D9D9D9" w:color="auto" w:val="clear"/>
            <w:tcMar>
              <w:top w:type="dxa" w:w="50"/>
              <w:left w:type="dxa" w:w="100"/>
              <w:bottom w:type="dxa" w:w="50"/>
              <w:right w:type="dxa" w:w="100"/>
            </w:tcMar>
            <w:vAlign w:val="top"/>
          </w:tcPr>
          <w:p>
            <w:pPr>
              <w:spacing w:after="0" w:before="0"/>
            </w:pPr>
            <w:r>
              <w:rPr>
                <w:rFonts w:ascii="Arial" w:cs="Arial" w:eastAsia="Arial" w:hAnsi="Arial"/>
                <w:b/>
                <w:bCs/>
                <w:sz w:val="20"/>
                <w:szCs w:val="20"/>
              </w:rPr>
              <w:t xml:space="preserve">Parameter</w:t>
            </w:r>
          </w:p>
        </w:tc>
        <w:tc>
          <w:tcPr>
            <w:tcW w:type="dxa" w:w="5560"/>
            <w:tcBorders>
              <w:top w:val="single" w:color="000000" w:sz="6"/>
              <w:left w:val="single" w:color="000000" w:sz="6"/>
              <w:bottom w:val="single" w:color="000000" w:sz="6"/>
              <w:right w:val="single" w:color="000000" w:sz="6"/>
            </w:tcBorders>
            <w:shd w:fill="D9D9D9" w:color="auto" w:val="clear"/>
            <w:tcMar>
              <w:top w:type="dxa" w:w="50"/>
              <w:left w:type="dxa" w:w="100"/>
              <w:bottom w:type="dxa" w:w="50"/>
              <w:right w:type="dxa" w:w="100"/>
            </w:tcMar>
            <w:vAlign w:val="top"/>
          </w:tcPr>
          <w:p>
            <w:pPr>
              <w:spacing w:after="0" w:before="0"/>
            </w:pPr>
            <w:r>
              <w:rPr>
                <w:rFonts w:ascii="Arial" w:cs="Arial" w:eastAsia="Arial" w:hAnsi="Arial"/>
                <w:b/>
                <w:bCs/>
                <w:sz w:val="20"/>
                <w:szCs w:val="20"/>
              </w:rPr>
              <w:t xml:space="preserve">Description</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1.</w:t>
            </w:r>
          </w:p>
        </w:tc>
        <w:tc>
          <w:tcPr>
            <w:tcW w:type="dxa" w:w="29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Problem Statement (Problem to be solved)</w:t>
            </w:r>
          </w:p>
        </w:tc>
        <w:tc>
          <w:tcPr>
            <w:tcW w:type="dxa" w:w="556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Customer data administrators import bulk customer data from Excel into ServiceNow, but the transform map has no coalesce field (e.g., Customer ID) to match existing customers. Duplicate customer records get created and old details are not updated, so report counts look inflated and support managers cannot trust the numbers.</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2.</w:t>
            </w:r>
          </w:p>
        </w:tc>
        <w:tc>
          <w:tcPr>
            <w:tcW w:type="dxa" w:w="29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Idea / Solution description</w:t>
            </w:r>
          </w:p>
        </w:tc>
        <w:tc>
          <w:tcPr>
            <w:tcW w:type="dxa" w:w="556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Import the customer data using an Import Set and a Transform Map in ServiceNow. The Excel file is loaded into a staging table, the fields are mapped with Auto Map and Mapping Assist, and Coalesce is enabled on Customer ID so existing customers are updated instead of duplicated. After the transform, the Transform History and the customer table are checked, and the clean data is shown in reports (pie chart by account type, bar chart by city) on a dashboard. A role and ACLs protect the customer table.</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3.</w:t>
            </w:r>
          </w:p>
        </w:tc>
        <w:tc>
          <w:tcPr>
            <w:tcW w:type="dxa" w:w="29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Novelty / Uniqueness</w:t>
            </w:r>
          </w:p>
        </w:tc>
        <w:tc>
          <w:tcPr>
            <w:tcW w:type="dxa" w:w="556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The solution uses only built-in ServiceNow features, with no extra code or tools. Coalesce on Customer ID updates existing records instead of adding duplicates, a saved Transform Map can be reused for new files, and a re-import test proves that no duplicates are created.</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4.</w:t>
            </w:r>
          </w:p>
        </w:tc>
        <w:tc>
          <w:tcPr>
            <w:tcW w:type="dxa" w:w="29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Social Impact / Customer Satisfaction</w:t>
            </w:r>
          </w:p>
        </w:tc>
        <w:tc>
          <w:tcPr>
            <w:tcW w:type="dxa" w:w="556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Administrators save time and avoid cleaning duplicates by hand, and support managers can trust the reports. Accurate customer details help the support team serve customers better, and role-based access means only authorised users can see the customer data.</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5.</w:t>
            </w:r>
          </w:p>
        </w:tc>
        <w:tc>
          <w:tcPr>
            <w:tcW w:type="dxa" w:w="29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Business Model (Revenue Model)</w:t>
            </w:r>
          </w:p>
        </w:tc>
        <w:tc>
          <w:tcPr>
            <w:tcW w:type="dxa" w:w="556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The solution is an internal efficiency tool built on the organisation's existing ServiceNow platform, so the benefit comes from saved administrator time and fewer data errors rather than direct sales. It can also be packaged as a reusable import template or service for other teams.</w:t>
            </w:r>
          </w:p>
        </w:tc>
      </w:tr>
      <w:tr>
        <w:trPr>
          <w:cantSplit/>
        </w:trPr>
        <w:tc>
          <w:tcPr>
            <w:tcW w:type="dxa" w:w="9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6.</w:t>
            </w:r>
          </w:p>
        </w:tc>
        <w:tc>
          <w:tcPr>
            <w:tcW w:type="dxa" w:w="290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Scalability of the Solution</w:t>
            </w:r>
          </w:p>
        </w:tc>
        <w:tc>
          <w:tcPr>
            <w:tcW w:type="dxa" w:w="5560"/>
            <w:tcBorders>
              <w:top w:val="single" w:color="000000" w:sz="6"/>
              <w:left w:val="single" w:color="000000" w:sz="6"/>
              <w:bottom w:val="single" w:color="000000" w:sz="6"/>
              <w:right w:val="single" w:color="000000" w:sz="6"/>
            </w:tcBorders>
            <w:tcMar>
              <w:top w:type="dxa" w:w="50"/>
              <w:left w:type="dxa" w:w="100"/>
              <w:bottom w:type="dxa" w:w="50"/>
              <w:right w:type="dxa" w:w="100"/>
            </w:tcMar>
            <w:vAlign w:val="top"/>
          </w:tcPr>
          <w:p>
            <w:pPr>
              <w:spacing w:after="0" w:before="0"/>
            </w:pPr>
            <w:r>
              <w:rPr>
                <w:rFonts w:ascii="Arial" w:cs="Arial" w:eastAsia="Arial" w:hAnsi="Arial"/>
                <w:sz w:val="20"/>
                <w:szCs w:val="20"/>
              </w:rPr>
              <w:t xml:space="preserve">The same Transform Map can be reused for new spreadsheets, more fields can be added to the table, and imports can later be scheduled instead of run by hand. The same approach can be extended to other tables and teams with new transform maps, and it runs on the ServiceNow cloud platform.</w:t>
            </w:r>
          </w:p>
        </w:tc>
      </w:tr>
    </w:tbl>
    <w:sectPr>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2026-10-01T04:34:13.327Z</dcterms:created>
  <dcterms:modified xsi:type="dcterms:W3CDTF">2026-10-01T04:34:13.327Z</dcterms:modified>
</cp:coreProperties>
</file>

<file path=docProps/custom.xml><?xml version="1.0" encoding="utf-8"?>
<Properties xmlns="http://schemas.openxmlformats.org/officeDocument/2006/custom-properties" xmlns:vt="http://schemas.openxmlformats.org/officeDocument/2006/docPropsVTypes"/>
</file>