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Calibri" w:cs="Calibri" w:eastAsia="Calibri" w:hAnsi="Calibri"/>
          <w:b/>
          <w:bCs/>
          <w:sz w:val="32"/>
          <w:szCs w:val="32"/>
        </w:rPr>
        <w:t xml:space="preserve">Acceptance Testing</w:t>
      </w:r>
    </w:p>
    <w:p>
      <w:pPr>
        <w:spacing w:after="200" w:before="80"/>
        <w:jc w:val="center"/>
      </w:pPr>
      <w:r>
        <w:rPr>
          <w:rFonts w:ascii="Calibri" w:cs="Calibri" w:eastAsia="Calibri" w:hAnsi="Calibri"/>
          <w:b/>
          <w:bCs/>
          <w:sz w:val="26"/>
          <w:szCs w:val="26"/>
        </w:rPr>
        <w:t xml:space="preserve">UAT Execution &amp; Report Submission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cantSplit/>
        </w:trPr>
        <w:tc>
          <w:tcPr>
            <w:tcW w:type="dxa" w:w="2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Date</w:t>
            </w:r>
          </w:p>
        </w:tc>
        <w:tc>
          <w:tcPr>
            <w:tcW w:type="dxa" w:w="6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01 October 2026</w:t>
            </w:r>
          </w:p>
        </w:tc>
      </w:tr>
      <w:tr>
        <w:trPr>
          <w:cantSplit/>
        </w:trPr>
        <w:tc>
          <w:tcPr>
            <w:tcW w:type="dxa" w:w="2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Team ID</w:t>
            </w:r>
          </w:p>
        </w:tc>
        <w:tc>
          <w:tcPr>
            <w:tcW w:type="dxa" w:w="6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SWTID-2026-5228</w:t>
            </w:r>
          </w:p>
        </w:tc>
      </w:tr>
      <w:tr>
        <w:trPr>
          <w:cantSplit/>
        </w:trPr>
        <w:tc>
          <w:tcPr>
            <w:tcW w:type="dxa" w:w="2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Project Name</w:t>
            </w:r>
          </w:p>
        </w:tc>
        <w:tc>
          <w:tcPr>
            <w:tcW w:type="dxa" w:w="6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Import Data using Transform Maps (Spreadsheet)</w:t>
            </w:r>
          </w:p>
        </w:tc>
      </w:tr>
      <w:tr>
        <w:trPr>
          <w:cantSplit/>
        </w:trPr>
        <w:tc>
          <w:tcPr>
            <w:tcW w:type="dxa" w:w="2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Maximum Marks</w:t>
            </w:r>
          </w:p>
        </w:tc>
        <w:tc>
          <w:tcPr>
            <w:tcW w:type="dxa" w:w="68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4 Marks</w:t>
            </w:r>
          </w:p>
        </w:tc>
      </w:tr>
    </w:tbl>
    <w:p>
      <w:pPr>
        <w:spacing w:after="80" w:before="200"/>
      </w:pPr>
      <w:r>
        <w:rPr>
          <w:rFonts w:ascii="Calibri" w:cs="Calibri" w:eastAsia="Calibri" w:hAnsi="Calibri"/>
          <w:b/>
          <w:bCs/>
          <w:sz w:val="26"/>
          <w:szCs w:val="26"/>
        </w:rPr>
        <w:t xml:space="preserve">1. Purpose of Document</w:t>
      </w:r>
    </w:p>
    <w:p>
      <w:pPr>
        <w:spacing w:after="80" w:before="80"/>
      </w:pPr>
      <w:r>
        <w:rPr>
          <w:rFonts w:ascii="Calibri" w:cs="Calibri" w:eastAsia="Calibri" w:hAnsi="Calibri"/>
          <w:sz w:val="22"/>
          <w:szCs w:val="22"/>
        </w:rPr>
        <w:t xml:space="preserve">The purpose of this document is to briefly explain the test coverage and open issues of the Import Data using Transform Maps (Spreadsheet) project at the time of the release to User Acceptance Testing (UAT). The project loads employee data from an Excel spreadsheet into a ServiceNow Import Set table, moves it into the Employee Test table with a Transform Map, uses Coalesce on Employee ID to avoid duplicates, and shows the data in reports on the Employee Analytics Dashboards dashboard.</w:t>
      </w:r>
    </w:p>
    <w:p>
      <w:pPr>
        <w:keepNext/>
        <w:spacing w:after="80" w:before="200"/>
      </w:pPr>
      <w:r>
        <w:rPr>
          <w:rFonts w:ascii="Calibri" w:cs="Calibri" w:eastAsia="Calibri" w:hAnsi="Calibri"/>
          <w:b/>
          <w:bCs/>
          <w:sz w:val="26"/>
          <w:szCs w:val="26"/>
        </w:rPr>
        <w:t xml:space="preserve">2. Defect Analysis</w:t>
      </w:r>
    </w:p>
    <w:p>
      <w:pPr>
        <w:keepNext/>
        <w:spacing w:after="80" w:before="80"/>
      </w:pPr>
      <w:r>
        <w:rPr>
          <w:rFonts w:ascii="Calibri" w:cs="Calibri" w:eastAsia="Calibri" w:hAnsi="Calibri"/>
          <w:sz w:val="22"/>
          <w:szCs w:val="22"/>
        </w:rPr>
        <w:t xml:space="preserve">This report shows the number of resolved or closed bugs at each severity level, and how they were resolved. No defects were found during UAT (see BG-001 in the UAT test case document), so every count is zero.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300"/>
      </w:tblGrid>
      <w:tr>
        <w:trPr>
          <w:cantSplit/>
        </w:trPr>
        <w:tc>
          <w:tcPr>
            <w:tcW w:type="dxa" w:w="24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r>
              <w:rPr>
                <w:rFonts w:ascii="Calibri" w:cs="Calibri" w:eastAsia="Calibri" w:hAnsi="Calibri"/>
                <w:b/>
                <w:bCs/>
                <w:sz w:val="20"/>
                <w:szCs w:val="20"/>
              </w:rPr>
              <w:t xml:space="preserve">Resolution</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Severity 1</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Severity 2</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Severity 3</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Severity 4</w:t>
            </w:r>
          </w:p>
        </w:tc>
        <w:tc>
          <w:tcPr>
            <w:tcW w:type="dxa" w:w="13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Subtotal</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By Design</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Duplicate</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External</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Fixed</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Not Reproduced</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Skipped</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Won't Fix</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r>
      <w:tr>
        <w:trPr>
          <w:cantSplit/>
        </w:trPr>
        <w:tc>
          <w:tcPr>
            <w:tcW w:type="dxa" w:w="24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bCs/>
                <w:sz w:val="20"/>
                <w:szCs w:val="20"/>
              </w:rPr>
              <w:t xml:space="preserve">Totals</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3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r>
    </w:tbl>
    <w:p>
      <w:pPr>
        <w:keepNext/>
        <w:spacing w:after="80" w:before="200"/>
      </w:pPr>
      <w:r>
        <w:rPr>
          <w:rFonts w:ascii="Calibri" w:cs="Calibri" w:eastAsia="Calibri" w:hAnsi="Calibri"/>
          <w:b/>
          <w:bCs/>
          <w:sz w:val="26"/>
          <w:szCs w:val="26"/>
        </w:rPr>
        <w:t xml:space="preserve">3. Test Case Analysis</w:t>
      </w:r>
    </w:p>
    <w:p>
      <w:pPr>
        <w:keepNext/>
        <w:spacing w:after="80" w:before="80"/>
      </w:pPr>
      <w:r>
        <w:rPr>
          <w:rFonts w:ascii="Calibri" w:cs="Calibri" w:eastAsia="Calibri" w:hAnsi="Calibri"/>
          <w:sz w:val="22"/>
          <w:szCs w:val="22"/>
        </w:rPr>
        <w:t xml:space="preserve">This report shows the number of test cases that have passed, failed, and untested. All 11 test cases (TC-001 to TC-011) were executed and passed. Access Control (Roles &amp; ACL, FR-7) is not covered in this UAT.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500"/>
      </w:tblGrid>
      <w:tr>
        <w:trPr>
          <w:cantSplit/>
        </w:trPr>
        <w:tc>
          <w:tcPr>
            <w:tcW w:type="dxa" w:w="36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r>
              <w:rPr>
                <w:rFonts w:ascii="Calibri" w:cs="Calibri" w:eastAsia="Calibri" w:hAnsi="Calibri"/>
                <w:b/>
                <w:bCs/>
                <w:sz w:val="20"/>
                <w:szCs w:val="20"/>
              </w:rPr>
              <w:t xml:space="preserve">Section</w:t>
            </w:r>
          </w:p>
        </w:tc>
        <w:tc>
          <w:tcPr>
            <w:tcW w:type="dxa" w:w="15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Total Cases</w:t>
            </w:r>
          </w:p>
        </w:tc>
        <w:tc>
          <w:tcPr>
            <w:tcW w:type="dxa" w:w="15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Not Tested</w:t>
            </w:r>
          </w:p>
        </w:tc>
        <w:tc>
          <w:tcPr>
            <w:tcW w:type="dxa" w:w="15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Fail</w:t>
            </w:r>
          </w:p>
        </w:tc>
        <w:tc>
          <w:tcPr>
            <w:tcW w:type="dxa" w:w="1500"/>
            <w:tcBorders>
              <w:top w:val="single" w:color="000000" w:sz="4"/>
              <w:left w:val="single" w:color="000000" w:sz="4"/>
              <w:bottom w:val="single" w:color="000000" w:sz="4"/>
              <w:right w:val="single" w:color="000000" w:sz="4"/>
            </w:tcBorders>
            <w:shd w:fill="D9E2F3" w:color="auto" w:val="clear"/>
            <w:tcMar>
              <w:top w:type="dxa" w:w="35"/>
              <w:left w:type="dxa" w:w="110"/>
              <w:bottom w:type="dxa" w:w="35"/>
              <w:right w:type="dxa" w:w="110"/>
            </w:tcMar>
          </w:tcPr>
          <w:p>
            <w:pPr>
              <w:jc w:val="center"/>
            </w:pPr>
            <w:r>
              <w:rPr>
                <w:rFonts w:ascii="Calibri" w:cs="Calibri" w:eastAsia="Calibri" w:hAnsi="Calibri"/>
                <w:b/>
                <w:bCs/>
                <w:sz w:val="20"/>
                <w:szCs w:val="20"/>
              </w:rPr>
              <w:t xml:space="preserve">Pass</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Table &amp; Data Setup (TC-001)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Data Import (TC-002)</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Transform &amp; Field Mapping (TC-003, TC-004)</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2</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Duplicate Prevention (TC-006, TC-007)</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2</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Data Validation (TC-005)</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1</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val="false"/>
                <w:bCs w:val="false"/>
                <w:sz w:val="20"/>
                <w:szCs w:val="20"/>
              </w:rPr>
              <w:t xml:space="preserve">Reporting &amp; Dashboard (TC-008 to TC-011)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val="false"/>
                <w:bCs w:val="false"/>
                <w:sz w:val="20"/>
                <w:szCs w:val="20"/>
              </w:rPr>
              <w:t xml:space="preserve">4</w:t>
            </w:r>
          </w:p>
        </w:tc>
      </w:tr>
      <w:tr>
        <w:trPr>
          <w:cantSplit/>
        </w:trPr>
        <w:tc>
          <w:tcPr>
            <w:tcW w:type="dxa" w:w="3600"/>
            <w:tcBorders>
              <w:top w:val="single" w:color="000000" w:sz="4"/>
              <w:left w:val="single" w:color="000000" w:sz="4"/>
              <w:bottom w:val="single" w:color="000000" w:sz="4"/>
              <w:right w:val="single" w:color="000000" w:sz="4"/>
            </w:tcBorders>
            <w:tcMar>
              <w:top w:type="dxa" w:w="35"/>
              <w:left w:type="dxa" w:w="110"/>
              <w:bottom w:type="dxa" w:w="35"/>
              <w:right w:type="dxa" w:w="110"/>
            </w:tcMar>
          </w:tcPr>
          <w:p>
            <w:r>
              <w:rPr>
                <w:rFonts w:ascii="Calibri" w:cs="Calibri" w:eastAsia="Calibri" w:hAnsi="Calibri"/>
                <w:b/>
                <w:bCs/>
                <w:sz w:val="20"/>
                <w:szCs w:val="20"/>
              </w:rPr>
              <w:t xml:space="preserve">Totals</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0</w:t>
            </w:r>
          </w:p>
        </w:tc>
        <w:tc>
          <w:tcPr>
            <w:tcW w:type="dxa" w:w="1500"/>
            <w:tcBorders>
              <w:top w:val="single" w:color="000000" w:sz="4"/>
              <w:left w:val="single" w:color="000000" w:sz="4"/>
              <w:bottom w:val="single" w:color="000000" w:sz="4"/>
              <w:right w:val="single" w:color="000000" w:sz="4"/>
            </w:tcBorders>
            <w:tcMar>
              <w:top w:type="dxa" w:w="35"/>
              <w:left w:type="dxa" w:w="110"/>
              <w:bottom w:type="dxa" w:w="35"/>
              <w:right w:type="dxa" w:w="110"/>
            </w:tcMar>
          </w:tcPr>
          <w:p>
            <w:pPr>
              <w:jc w:val="center"/>
            </w:pPr>
            <w:r>
              <w:rPr>
                <w:rFonts w:ascii="Calibri" w:cs="Calibri" w:eastAsia="Calibri" w:hAnsi="Calibri"/>
                <w:b/>
                <w:bCs/>
                <w:sz w:val="20"/>
                <w:szCs w:val="20"/>
              </w:rPr>
              <w:t xml:space="preserve">11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2026-10-01T06:33:46.991Z</dcterms:created>
  <dcterms:modified xsi:type="dcterms:W3CDTF">2026-10-01T06:33:46.993Z</dcterms:modified>
</cp:coreProperties>
</file>

<file path=docProps/custom.xml><?xml version="1.0" encoding="utf-8"?>
<Properties xmlns="http://schemas.openxmlformats.org/officeDocument/2006/custom-properties" xmlns:vt="http://schemas.openxmlformats.org/officeDocument/2006/docPropsVTypes"/>
</file>