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0e1eeadfece676fbef77f4b10d863c01403864"/>
    <w:p>
      <w:pPr>
        <w:pStyle w:val="Heading1"/>
      </w:pPr>
      <w:r>
        <w:t xml:space="preserve">Meeting Minutes — NeurIPS Paper: Results &amp; Next Steps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16 April 2026</w:t>
      </w:r>
      <w:r>
        <w:br/>
      </w:r>
      <w:r>
        <w:rPr>
          <w:bCs/>
          <w:b/>
        </w:rPr>
        <w:t xml:space="preserve">Present:</w:t>
      </w:r>
      <w:r>
        <w:t xml:space="preserve"> </w:t>
      </w:r>
      <w:r>
        <w:t xml:space="preserve">Daniel Sikar, Pritish Ranjan PG-Verma, Josh, Andrew (joined late)</w:t>
      </w:r>
      <w:r>
        <w:br/>
      </w:r>
      <w:r>
        <w:rPr>
          <w:bCs/>
          <w:b/>
        </w:rPr>
        <w:t xml:space="preserve">Topic:</w:t>
      </w:r>
      <w:r>
        <w:t xml:space="preserve"> </w:t>
      </w:r>
      <w:r>
        <w:t xml:space="preserve">New dataset / new model experiments; fine-tuning plan; image extension</w:t>
      </w:r>
    </w:p>
    <w:p>
      <w:r>
        <w:pict>
          <v:rect style="width:0;height:1.5pt" o:hralign="center" o:hrstd="t" o:hr="t"/>
        </w:pict>
      </w:r>
    </w:p>
    <w:bookmarkStart w:id="24" w:name="results"/>
    <w:p>
      <w:pPr>
        <w:pStyle w:val="Heading2"/>
      </w:pPr>
      <w:r>
        <w:t xml:space="preserve">Results</w:t>
      </w:r>
    </w:p>
    <w:bookmarkStart w:id="20" w:name="experiment-1-new-dataset-same-model"/>
    <w:p>
      <w:pPr>
        <w:pStyle w:val="Heading3"/>
      </w:pPr>
      <w:r>
        <w:t xml:space="preserve">Experiment 1: New Dataset, Same Model</w:t>
      </w:r>
    </w:p>
    <w:p>
      <w:pPr>
        <w:numPr>
          <w:ilvl w:val="0"/>
          <w:numId w:val="1001"/>
        </w:numPr>
        <w:pStyle w:val="Compact"/>
      </w:pPr>
      <w:r>
        <w:t xml:space="preserve">Previous dataset had ~564 samples per class (after balancing). New dataset (the 20K set shared by email) has 4–5× more data points per class.</w:t>
      </w:r>
    </w:p>
    <w:p>
      <w:pPr>
        <w:numPr>
          <w:ilvl w:val="0"/>
          <w:numId w:val="1001"/>
        </w:numPr>
        <w:pStyle w:val="Compact"/>
      </w:pPr>
      <w:r>
        <w:t xml:space="preserve">Clusters plotted with the same pre-trained model. Emotions continue to form the same spatial groupings: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Anger, sadness, fear</w:t>
      </w:r>
      <w:r>
        <w:t xml:space="preserve"> </w:t>
      </w:r>
      <w:r>
        <w:t xml:space="preserve">cluster together.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Joy and love</w:t>
      </w:r>
      <w:r>
        <w:t xml:space="preserve"> </w:t>
      </w:r>
      <w:r>
        <w:t xml:space="preserve">cluster together.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Surprise</w:t>
      </w:r>
      <w:r>
        <w:t xml:space="preserve"> </w:t>
      </w:r>
      <w:r>
        <w:t xml:space="preserve">remains an outlier, not blending with either group.</w:t>
      </w:r>
    </w:p>
    <w:p>
      <w:pPr>
        <w:numPr>
          <w:ilvl w:val="0"/>
          <w:numId w:val="1001"/>
        </w:numPr>
        <w:pStyle w:val="Compact"/>
      </w:pPr>
      <w:r>
        <w:t xml:space="preserve">Minimum/maximum distances from centroid remain comparable (~6.5 vs ~7 on the previous dataset).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Conclusion:</w:t>
      </w:r>
      <w:r>
        <w:t xml:space="preserve"> </w:t>
      </w:r>
      <w:r>
        <w:t xml:space="preserve">Geometry is not dataset-specific. The pattern generalises across datasets.</w:t>
      </w:r>
    </w:p>
    <w:bookmarkEnd w:id="20"/>
    <w:bookmarkStart w:id="21" w:name="experiment-2-new-dataset-new-model"/>
    <w:p>
      <w:pPr>
        <w:pStyle w:val="Heading3"/>
      </w:pPr>
      <w:r>
        <w:t xml:space="preserve">Experiment 2: New Dataset, New Model</w:t>
      </w:r>
    </w:p>
    <w:p>
      <w:pPr>
        <w:numPr>
          <w:ilvl w:val="0"/>
          <w:numId w:val="1003"/>
        </w:numPr>
        <w:pStyle w:val="Compact"/>
      </w:pPr>
      <w:r>
        <w:t xml:space="preserve">Same larger dataset, different pre-trained model.</w:t>
      </w:r>
    </w:p>
    <w:p>
      <w:pPr>
        <w:numPr>
          <w:ilvl w:val="0"/>
          <w:numId w:val="1003"/>
        </w:numPr>
        <w:pStyle w:val="Compact"/>
      </w:pPr>
      <w:r>
        <w:t xml:space="preserve">Centroid positions shift somewhat, but the relational pattern is preserved: anger/sadness remain close, joy/love remain close, surprise sits apart.</w:t>
      </w:r>
    </w:p>
    <w:p>
      <w:pPr>
        <w:numPr>
          <w:ilvl w:val="0"/>
          <w:numId w:val="1003"/>
        </w:numPr>
        <w:pStyle w:val="Compact"/>
      </w:pPr>
      <w:r>
        <w:t xml:space="preserve">Density decay (number of data points per radial distance, corrected axis label) follows the same linear decay pattern.</w:t>
      </w:r>
    </w:p>
    <w:p>
      <w:pPr>
        <w:numPr>
          <w:ilvl w:val="0"/>
          <w:numId w:val="1003"/>
        </w:numPr>
        <w:pStyle w:val="Compact"/>
      </w:pPr>
      <w:r>
        <w:t xml:space="preserve">Overlap ratio peak occurs just after density peak in both models (e.g. density peak at ~2 units, overlap onset at ~2.4).</w:t>
      </w:r>
    </w:p>
    <w:p>
      <w:pPr>
        <w:numPr>
          <w:ilvl w:val="0"/>
          <w:numId w:val="1003"/>
        </w:numPr>
        <w:pStyle w:val="Compact"/>
      </w:pPr>
      <w:r>
        <w:t xml:space="preserve">Absolute magnitudes differ (peak at ~9 units for model 1; ~4–5 units for model 2) but the functional pattern is unchanged.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Conclusion:</w:t>
      </w:r>
      <w:r>
        <w:t xml:space="preserve"> </w:t>
      </w:r>
      <w:r>
        <w:t xml:space="preserve">Cross-model, cross-dataset validation achieved. The geometric patterns are universal properties, not model or dataset artefacts.</w:t>
      </w:r>
    </w:p>
    <w:bookmarkEnd w:id="21"/>
    <w:bookmarkStart w:id="22" w:name="key-observation-no-pure-emotion"/>
    <w:p>
      <w:pPr>
        <w:pStyle w:val="Heading3"/>
      </w:pPr>
      <w:r>
        <w:t xml:space="preserve">Key Observation: No Pure Emotion</w:t>
      </w:r>
    </w:p>
    <w:p>
      <w:pPr>
        <w:numPr>
          <w:ilvl w:val="0"/>
          <w:numId w:val="1004"/>
        </w:numPr>
        <w:pStyle w:val="Compact"/>
      </w:pPr>
      <w:r>
        <w:t xml:space="preserve">Every data point lies somewhere between clusters, reflecting mixed emotional content.</w:t>
      </w:r>
    </w:p>
    <w:p>
      <w:pPr>
        <w:numPr>
          <w:ilvl w:val="0"/>
          <w:numId w:val="1004"/>
        </w:numPr>
        <w:pStyle w:val="Compact"/>
      </w:pPr>
      <w:r>
        <w:t xml:space="preserve">Vector arithmetic analogy discussed (Italy − Rome + France ≈ Paris): the same principle applies — emotional embeddings can be decomposed and composed geometrically.</w:t>
      </w:r>
    </w:p>
    <w:bookmarkEnd w:id="22"/>
    <w:bookmarkStart w:id="23" w:name="axis-label-correction"/>
    <w:p>
      <w:pPr>
        <w:pStyle w:val="Heading3"/>
      </w:pPr>
      <w:r>
        <w:t xml:space="preserve">Axis Label Correction</w:t>
      </w:r>
    </w:p>
    <w:p>
      <w:pPr>
        <w:numPr>
          <w:ilvl w:val="0"/>
          <w:numId w:val="1005"/>
        </w:numPr>
        <w:pStyle w:val="Compact"/>
      </w:pPr>
      <w:r>
        <w:t xml:space="preserve">The y-axis previously labelled</w:t>
      </w:r>
      <w:r>
        <w:t xml:space="preserve"> </w:t>
      </w:r>
      <w:r>
        <w:t xml:space="preserve">“</w:t>
      </w:r>
      <w:r>
        <w:t xml:space="preserve">density</w:t>
      </w:r>
      <w:r>
        <w:t xml:space="preserve">”</w:t>
      </w:r>
      <w:r>
        <w:t xml:space="preserve"> </w:t>
      </w:r>
      <w:r>
        <w:t xml:space="preserve">should read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number of data points per radial distance</w:t>
      </w:r>
      <w:r>
        <w:rPr>
          <w:bCs/>
          <w:b/>
        </w:rPr>
        <w:t xml:space="preserve">”</w:t>
      </w:r>
      <w:r>
        <w:t xml:space="preserve"> </w:t>
      </w:r>
      <w:r>
        <w:t xml:space="preserve">(normalised by shell surface area at that radius). Pritish to update plots before submission.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iscussion-future-work-flagged-for-paper"/>
    <w:p>
      <w:pPr>
        <w:pStyle w:val="Heading2"/>
      </w:pPr>
      <w:r>
        <w:t xml:space="preserve">Discussion: Future Work Flagged for Paper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Experience as geometry:</w:t>
      </w:r>
      <w:r>
        <w:t xml:space="preserve"> </w:t>
      </w:r>
      <w:r>
        <w:t xml:space="preserve">A human mind draws on distributed memories to answer a question (e.g. Mahatma Gandhi’s birthday via a school essay). LLMs appear to do the same — each transformer layer produces an embedding that can be located in this geometric space. Tracking the path through layers could reveal what context a model draws on. This was flagged as a</w:t>
      </w:r>
      <w:r>
        <w:t xml:space="preserve"> </w:t>
      </w:r>
      <w:r>
        <w:rPr>
          <w:bCs/>
          <w:b/>
        </w:rPr>
        <w:t xml:space="preserve">future work</w:t>
      </w:r>
      <w:r>
        <w:t xml:space="preserve"> </w:t>
      </w:r>
      <w:r>
        <w:t xml:space="preserve">discussion point for the paper.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Fine-tuning hypothesis:</w:t>
      </w:r>
      <w:r>
        <w:t xml:space="preserve"> </w:t>
      </w:r>
      <w:r>
        <w:t xml:space="preserve">Fine-tuning on a labelled subset (e.g. classes A–W, tested on X–Z) may tighten clusters because the model has</w:t>
      </w:r>
      <w:r>
        <w:t xml:space="preserve"> </w:t>
      </w:r>
      <w:r>
        <w:t xml:space="preserve">“</w:t>
      </w:r>
      <w:r>
        <w:t xml:space="preserve">learned</w:t>
      </w:r>
      <w:r>
        <w:t xml:space="preserve">”</w:t>
      </w:r>
      <w:r>
        <w:t xml:space="preserve"> </w:t>
      </w:r>
      <w:r>
        <w:t xml:space="preserve">the label. Alternatively, geometry may remain unchanged — either outcome is publishable.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Schrodinger’s cat argument for images:</w:t>
      </w:r>
      <w:r>
        <w:t xml:space="preserve"> </w:t>
      </w:r>
      <w:r>
        <w:t xml:space="preserve">Unlike emotions, concrete objects (a cat, a dog) have a definite referent. We expect image embeddings to sit closer to their centroid, giving tighter clusters. This contrast is a discussion point in the images section.</w:t>
      </w:r>
    </w:p>
    <w:p>
      <w:r>
        <w:pict>
          <v:rect style="width:0;height:1.5pt" o:hralign="center" o:hrstd="t" o:hr="t"/>
        </w:pict>
      </w:r>
    </w:p>
    <w:bookmarkEnd w:id="25"/>
    <w:bookmarkStart w:id="29" w:name="next-steps"/>
    <w:p>
      <w:pPr>
        <w:pStyle w:val="Heading2"/>
      </w:pPr>
      <w:r>
        <w:t xml:space="preserve">Next Steps</w:t>
      </w:r>
    </w:p>
    <w:bookmarkStart w:id="26" w:name="immediate-before-next-weekly-meeting"/>
    <w:p>
      <w:pPr>
        <w:pStyle w:val="Heading3"/>
      </w:pPr>
      <w:r>
        <w:t xml:space="preserve">Immediate (before next weekly meeting)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6 fine-tuning jobs on HPC: multiclass classifier, 10 / 50 / 100 epochs × balanced / unbalanced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learning-rate sweep experiments: one low-LR and one high-LR run to bracket fine-tuning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Pritish / Daniel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axis label (</w:t>
            </w:r>
            <w:r>
              <w:t xml:space="preserve">“</w:t>
            </w:r>
            <w:r>
              <w:t xml:space="preserve">number of data points per radial distance</w:t>
            </w:r>
            <w:r>
              <w:t xml:space="preserve">”</w:t>
            </w:r>
            <w:r>
              <w:t xml:space="preserve">) on all existing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fine-tuning results (cluster tightness, logit–centroid correlation) at next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Pritish</w:t>
            </w:r>
          </w:p>
        </w:tc>
      </w:tr>
    </w:tbl>
    <w:bookmarkEnd w:id="26"/>
    <w:bookmarkStart w:id="27" w:name="Xb69088338cff6261375fd4c0471577f7be18765"/>
    <w:p>
      <w:pPr>
        <w:pStyle w:val="Heading3"/>
      </w:pPr>
      <w:r>
        <w:t xml:space="preserve">Images Phase (to begin next meeting, target before abstract deadline 5 May)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image dataset — preferred: multi-category with activity labels (e.g. dog/cat/horse × walking/running/standing) to replicate cluster + outlier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Josh / Daniel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images: no segmentation — embed full images, plot clusters, check density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images: segment object from background, repeat — test whether reduced context tightens centroid 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Overleaf link with Andrew and Neil so they can contribute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</w:t>
            </w:r>
          </w:p>
        </w:tc>
      </w:tr>
    </w:tbl>
    <w:bookmarkEnd w:id="27"/>
    <w:bookmarkStart w:id="28" w:name="hpc-housekeeping"/>
    <w:p>
      <w:pPr>
        <w:pStyle w:val="Heading3"/>
      </w:pPr>
      <w:r>
        <w:t xml:space="preserve">HPC Housekeeping</w:t>
      </w:r>
    </w:p>
    <w:p>
      <w:pPr>
        <w:numPr>
          <w:ilvl w:val="0"/>
          <w:numId w:val="1007"/>
        </w:numPr>
        <w:pStyle w:val="Compact"/>
      </w:pPr>
      <w:r>
        <w:t xml:space="preserve">Pritish resolved SSH access (must connect to university VPN, then SSH into Hyperion — this is undocumented; note it for the paper’s reproducibility section).</w:t>
      </w:r>
    </w:p>
    <w:p>
      <w:pPr>
        <w:numPr>
          <w:ilvl w:val="0"/>
          <w:numId w:val="1007"/>
        </w:numPr>
        <w:pStyle w:val="Compact"/>
      </w:pPr>
      <w:r>
        <w:t xml:space="preserve">Jobs use Qwen model, batch size 8, learning rate 5×10⁻⁵. Scripts are committed to the HPC GitHub repo.</w:t>
      </w:r>
    </w:p>
    <w:p>
      <w:pPr>
        <w:numPr>
          <w:ilvl w:val="0"/>
          <w:numId w:val="1007"/>
        </w:numPr>
        <w:pStyle w:val="Compact"/>
      </w:pPr>
      <w:r>
        <w:t xml:space="preserve">A heavy user (likely mechanical engineering / fluid simulation) is occupying most GPU slots; jobs will queue but will run.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bstract-deadline"/>
    <w:p>
      <w:pPr>
        <w:pStyle w:val="Heading2"/>
      </w:pPr>
      <w:r>
        <w:t xml:space="preserve">Abstract Deadline</w:t>
      </w:r>
    </w:p>
    <w:p>
      <w:pPr>
        <w:pStyle w:val="FirstParagraph"/>
      </w:pPr>
      <w:r>
        <w:rPr>
          <w:bCs/>
          <w:b/>
        </w:rPr>
        <w:t xml:space="preserve">May 5, 2026</w:t>
      </w:r>
      <w:r>
        <w:t xml:space="preserve"> </w:t>
      </w:r>
      <w:r>
        <w:t xml:space="preserve">— approximately 19 days from this meeting. Images work must be complete and results interpretable before then.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2026-04-16T18:21:55Z</dcterms:created>
  <dcterms:modified xsi:type="dcterms:W3CDTF">2026-04-16T18:21:55Z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