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253" w:rsidRPr="00F75253" w:rsidRDefault="00F75253" w:rsidP="00F752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5253">
        <w:rPr>
          <w:rFonts w:ascii="Times New Roman" w:hAnsi="Times New Roman" w:cs="Times New Roman"/>
          <w:b/>
          <w:sz w:val="28"/>
          <w:szCs w:val="28"/>
        </w:rPr>
        <w:t>Memorandum</w:t>
      </w: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A87D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Deborah Sills, Ph.D.</w:t>
      </w: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</w:t>
      </w:r>
      <w:r w:rsidR="00A87D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Dylan Cowell</w:t>
      </w: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A87D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 24, 2013</w:t>
      </w: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Re: </w:t>
      </w:r>
      <w:r w:rsidR="00A87D0C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Determination of Isotherm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5253" w:rsidTr="00F75253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253" w:rsidRDefault="00F75253" w:rsidP="00F75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experiment was to fit the collected sorption data to either a linear or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isotherm and to determine the parameters of the fitted equation.</w:t>
      </w: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Sorption data of dissolved chlordane concentration (in mg/L) versus adsorbed chlordane concentration (in mg</w:t>
      </w:r>
      <w:proofErr w:type="gramStart"/>
      <w:r>
        <w:rPr>
          <w:rFonts w:ascii="Times New Roman" w:hAnsi="Times New Roman" w:cs="Times New Roman"/>
          <w:sz w:val="24"/>
          <w:szCs w:val="24"/>
        </w:rPr>
        <w:t>/[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 GAC]) was obtained and inputted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KaleidaGraph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data was then fit with a linear isotherm model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isotherm model, and the two were compared visually to determine which had the better fit to the data. Once the proper isotherm model was determined, a plot of the data points and the curve was created, and the isotherm parameters were reported.</w:t>
      </w: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 AND DISCUSSION</w:t>
      </w: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5253" w:rsidRDefault="00F75253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Visually, it was apparent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isotherm model was the best fit for the obtained data points.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isotherm solid-water partition coefficient (K) is 245 (mg/g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L/mg). </w:t>
      </w:r>
      <w:r w:rsidR="00A87D0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87D0C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="00A87D0C">
        <w:rPr>
          <w:rFonts w:ascii="Times New Roman" w:hAnsi="Times New Roman" w:cs="Times New Roman"/>
          <w:sz w:val="24"/>
          <w:szCs w:val="24"/>
        </w:rPr>
        <w:t xml:space="preserve"> isotherm intensity parameter (1/n) is 0.4. These parameters fit the model shown below.</w:t>
      </w:r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D0C" w:rsidRP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q=K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1/n</m:t>
              </m:r>
            </m:sup>
          </m:sSup>
        </m:oMath>
      </m:oMathPara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plot with the data points and the fitted isotherm model is shown below, as Figure 1.</w:t>
      </w:r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D0C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87D0C" w:rsidTr="00A87D0C">
        <w:tc>
          <w:tcPr>
            <w:tcW w:w="9576" w:type="dxa"/>
          </w:tcPr>
          <w:p w:rsidR="00A87D0C" w:rsidRDefault="00A87D0C" w:rsidP="00F75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0800" w:dyaOrig="10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468pt" o:ole="">
                  <v:imagedata r:id="rId5" o:title=""/>
                </v:shape>
                <o:OLEObject Type="Embed" ProgID="KGraph_Plot" ShapeID="_x0000_i1025" DrawAspect="Content" ObjectID="_1441445826" r:id="rId6"/>
              </w:object>
            </w:r>
          </w:p>
        </w:tc>
      </w:tr>
      <w:tr w:rsidR="00A87D0C" w:rsidTr="00A87D0C">
        <w:tc>
          <w:tcPr>
            <w:tcW w:w="9576" w:type="dxa"/>
          </w:tcPr>
          <w:p w:rsidR="00A87D0C" w:rsidRPr="00A87D0C" w:rsidRDefault="00A87D0C" w:rsidP="00F75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Sorption data of dissolved chlordane concentration versus adsorbed chlordane concentration, with the fitted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Freundlich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isotherm model.</w:t>
            </w:r>
          </w:p>
        </w:tc>
      </w:tr>
    </w:tbl>
    <w:p w:rsidR="00A87D0C" w:rsidRPr="00F75253" w:rsidRDefault="00A87D0C" w:rsidP="00F7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87D0C" w:rsidRPr="00F7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53"/>
    <w:rsid w:val="001833D6"/>
    <w:rsid w:val="00A87D0C"/>
    <w:rsid w:val="00F7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87D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87D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2</cp:revision>
  <cp:lastPrinted>2013-09-23T16:49:00Z</cp:lastPrinted>
  <dcterms:created xsi:type="dcterms:W3CDTF">2013-09-23T16:51:00Z</dcterms:created>
  <dcterms:modified xsi:type="dcterms:W3CDTF">2013-09-23T16:51:00Z</dcterms:modified>
</cp:coreProperties>
</file>