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40252" w14:textId="77777777" w:rsidR="00034ED8" w:rsidRPr="00675EE8" w:rsidRDefault="00034ED8">
      <w:pPr>
        <w:rPr>
          <w:b/>
          <w:sz w:val="28"/>
          <w:szCs w:val="28"/>
        </w:rPr>
      </w:pPr>
      <w:r w:rsidRPr="00034ED8">
        <w:rPr>
          <w:b/>
          <w:sz w:val="28"/>
          <w:szCs w:val="28"/>
        </w:rPr>
        <w:t>Memorandum</w:t>
      </w:r>
    </w:p>
    <w:p w14:paraId="4D69DDDA" w14:textId="55FBCE0D" w:rsidR="00034ED8" w:rsidRDefault="00034ED8">
      <w:r>
        <w:t xml:space="preserve">To: </w:t>
      </w:r>
      <w:r>
        <w:tab/>
      </w:r>
      <w:r w:rsidR="00B95D88">
        <w:t>Co Worke</w:t>
      </w:r>
      <w:bookmarkStart w:id="0" w:name="_GoBack"/>
      <w:bookmarkEnd w:id="0"/>
      <w:r w:rsidR="00B95D88">
        <w:t>r</w:t>
      </w:r>
    </w:p>
    <w:p w14:paraId="7170DAC5" w14:textId="74927D94" w:rsidR="00FF52AD" w:rsidRDefault="00034ED8">
      <w:r>
        <w:t xml:space="preserve">From: </w:t>
      </w:r>
      <w:r>
        <w:tab/>
      </w:r>
      <w:r w:rsidR="00320A2D">
        <w:t xml:space="preserve">Peter Lander </w:t>
      </w:r>
    </w:p>
    <w:p w14:paraId="1185AAF6" w14:textId="0DBD1F76" w:rsidR="00034ED8" w:rsidRDefault="008A23AB">
      <w:r>
        <w:t xml:space="preserve">Date: </w:t>
      </w:r>
      <w:r>
        <w:tab/>
        <w:t>September 2</w:t>
      </w:r>
      <w:r w:rsidR="00B95D88">
        <w:t>3</w:t>
      </w:r>
      <w:r w:rsidR="00DC62DF">
        <w:t>, 2013</w:t>
      </w:r>
    </w:p>
    <w:p w14:paraId="4FFC485A" w14:textId="27BD69F7" w:rsidR="00034ED8" w:rsidRDefault="00B95D88">
      <w:r>
        <w:t>Re:</w:t>
      </w:r>
      <w:r>
        <w:tab/>
        <w:t xml:space="preserve">Results of </w:t>
      </w:r>
      <w:r w:rsidR="007F130D">
        <w:t xml:space="preserve">isotherm </w:t>
      </w:r>
      <w:r>
        <w:t>model fitting</w:t>
      </w:r>
      <w:r w:rsidR="007F130D">
        <w:t xml:space="preserve"> </w:t>
      </w:r>
    </w:p>
    <w:p w14:paraId="1C708C40" w14:textId="77777777" w:rsidR="00034ED8" w:rsidRDefault="00034ED8" w:rsidP="00F57770">
      <w:pPr>
        <w:pBdr>
          <w:bottom w:val="single" w:sz="4" w:space="1" w:color="000000" w:themeColor="text1"/>
        </w:pBdr>
      </w:pPr>
    </w:p>
    <w:p w14:paraId="381C9BF8" w14:textId="68315691" w:rsidR="00B95D88" w:rsidRDefault="00B95D88">
      <w:pPr>
        <w:rPr>
          <w:b/>
        </w:rPr>
      </w:pPr>
      <w:r>
        <w:rPr>
          <w:b/>
        </w:rPr>
        <w:t>OBJECTIVE</w:t>
      </w:r>
    </w:p>
    <w:p w14:paraId="47D2EDCA" w14:textId="3B0ACCAE" w:rsidR="00B95D88" w:rsidRPr="00B95D88" w:rsidRDefault="00B95D88">
      <w:r>
        <w:t>The objective of this analysis was to find the model that best fits the data provided</w:t>
      </w:r>
      <w:r w:rsidR="00C53843">
        <w:t xml:space="preserve">, given the </w:t>
      </w:r>
      <w:proofErr w:type="spellStart"/>
      <w:r w:rsidR="00C53843">
        <w:t>the</w:t>
      </w:r>
      <w:proofErr w:type="spellEnd"/>
      <w:r w:rsidR="00C53843">
        <w:t xml:space="preserve"> choice of</w:t>
      </w:r>
      <w:r w:rsidR="000146F3">
        <w:t xml:space="preserve"> either a Line</w:t>
      </w:r>
      <w:r w:rsidR="00C53843">
        <w:t>a</w:t>
      </w:r>
      <w:r w:rsidR="000146F3">
        <w:t xml:space="preserve">r or </w:t>
      </w:r>
      <w:proofErr w:type="spellStart"/>
      <w:r w:rsidR="000146F3">
        <w:t>Freundlich</w:t>
      </w:r>
      <w:proofErr w:type="spellEnd"/>
      <w:r w:rsidR="00C53843">
        <w:t xml:space="preserve"> isotherm model</w:t>
      </w:r>
      <w:r w:rsidR="000146F3">
        <w:t xml:space="preserve">. </w:t>
      </w:r>
    </w:p>
    <w:p w14:paraId="4E3A1EEA" w14:textId="77777777" w:rsidR="000146F3" w:rsidRDefault="000146F3">
      <w:pPr>
        <w:rPr>
          <w:b/>
        </w:rPr>
      </w:pPr>
    </w:p>
    <w:p w14:paraId="59A589B7" w14:textId="77777777" w:rsidR="007A1907" w:rsidRDefault="00B94463">
      <w:pPr>
        <w:rPr>
          <w:b/>
        </w:rPr>
      </w:pPr>
      <w:r w:rsidRPr="003D1ED1">
        <w:rPr>
          <w:b/>
        </w:rPr>
        <w:t>METHODS</w:t>
      </w:r>
    </w:p>
    <w:p w14:paraId="3964E3B6" w14:textId="6270DEA7" w:rsidR="00B95D88" w:rsidRDefault="006273F1">
      <w:r>
        <w:t xml:space="preserve">The data was used as input in </w:t>
      </w:r>
      <w:proofErr w:type="spellStart"/>
      <w:r>
        <w:t>KaleidaGraph</w:t>
      </w:r>
      <w:proofErr w:type="spellEnd"/>
      <w:r>
        <w:t xml:space="preserve"> and plotted, with the Dissolved Chlordane Concentration as the independent variable and the Adsorbed Chlordane Concentration as the dependent variable. Next, the two isotherm models</w:t>
      </w:r>
      <w:r w:rsidR="00F11875">
        <w:t xml:space="preserve"> were fit to the data set. The L</w:t>
      </w:r>
      <w:r>
        <w:t>inear</w:t>
      </w:r>
      <w:r w:rsidR="00F11875">
        <w:t xml:space="preserve"> (Eq. 1) and </w:t>
      </w:r>
      <w:proofErr w:type="spellStart"/>
      <w:r w:rsidR="00F11875">
        <w:t>Freundlich</w:t>
      </w:r>
      <w:proofErr w:type="spellEnd"/>
      <w:r w:rsidR="00F11875">
        <w:t xml:space="preserve"> (Eq. 2) models were then</w:t>
      </w:r>
      <w:r>
        <w:t xml:space="preserve"> fit using the following equation</w:t>
      </w:r>
      <w:r w:rsidR="00F11875">
        <w:t>s</w:t>
      </w:r>
      <w:r>
        <w:t>:</w:t>
      </w:r>
      <w:r w:rsidR="00F11875">
        <w:tab/>
      </w:r>
    </w:p>
    <w:p w14:paraId="3D49A7F7" w14:textId="2F054482" w:rsidR="006273F1" w:rsidRDefault="006273F1" w:rsidP="00F11875">
      <w:pPr>
        <w:jc w:val="right"/>
      </w:pPr>
      <m:oMath>
        <m:r>
          <w:rPr>
            <w:rFonts w:ascii="Cambria Math" w:hAnsi="Cambria Math"/>
          </w:rPr>
          <m:t>q=KC</m:t>
        </m:r>
      </m:oMath>
      <w:r w:rsidR="00F11875">
        <w:tab/>
        <w:t xml:space="preserve"> </w:t>
      </w:r>
      <w:r w:rsidR="00F11875">
        <w:tab/>
      </w:r>
      <w:r w:rsidR="00896E18">
        <w:tab/>
      </w:r>
      <w:r w:rsidR="00F11875">
        <w:tab/>
      </w:r>
      <w:r w:rsidR="00F11875">
        <w:tab/>
      </w:r>
      <w:r w:rsidR="00F11875">
        <w:tab/>
      </w:r>
      <w:r w:rsidR="00896E18">
        <w:t xml:space="preserve"> </w:t>
      </w:r>
      <w:r w:rsidR="00F11875">
        <w:tab/>
        <w:t xml:space="preserve">         (1)</w:t>
      </w:r>
      <w:r w:rsidR="00F11875">
        <w:tab/>
      </w:r>
    </w:p>
    <w:p w14:paraId="351D6A89" w14:textId="7821F5E1" w:rsidR="00F11875" w:rsidRDefault="00F11875" w:rsidP="00F11875">
      <w:pPr>
        <w:jc w:val="right"/>
      </w:pPr>
      <m:oMath>
        <m:r>
          <w:rPr>
            <w:rFonts w:ascii="Cambria Math" w:hAnsi="Cambria Math"/>
          </w:rPr>
          <m:t>q=K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sup>
        </m:sSup>
      </m:oMath>
      <w:r>
        <w:tab/>
        <w:t xml:space="preserve"> </w:t>
      </w:r>
      <w:r>
        <w:tab/>
      </w:r>
      <w:r>
        <w:tab/>
      </w:r>
      <w:r>
        <w:tab/>
      </w:r>
      <w:r>
        <w:tab/>
      </w:r>
      <w:r w:rsidR="00896E18">
        <w:t xml:space="preserve">   </w:t>
      </w:r>
      <w:r>
        <w:tab/>
        <w:t xml:space="preserve">         (2)</w:t>
      </w:r>
      <w:r>
        <w:tab/>
      </w:r>
    </w:p>
    <w:p w14:paraId="3E2D133A" w14:textId="77777777" w:rsidR="00F11875" w:rsidRPr="006273F1" w:rsidRDefault="00F11875" w:rsidP="00F11875">
      <w:pPr>
        <w:jc w:val="right"/>
      </w:pPr>
    </w:p>
    <w:p w14:paraId="6910C24B" w14:textId="4D32CF45" w:rsidR="006273F1" w:rsidRDefault="006273F1">
      <w:r>
        <w:t xml:space="preserve">Where q = mass of chlordane adsorbed per mass </w:t>
      </w:r>
      <w:proofErr w:type="gramStart"/>
      <w:r>
        <w:t>of  adsorbent</w:t>
      </w:r>
      <w:proofErr w:type="gramEnd"/>
      <w:r>
        <w:t xml:space="preserve"> at equilibrium (mg/g)</w:t>
      </w:r>
    </w:p>
    <w:p w14:paraId="31466FE5" w14:textId="5512A884" w:rsidR="006273F1" w:rsidRDefault="006273F1">
      <w:r>
        <w:t xml:space="preserve">K = </w:t>
      </w:r>
      <w:proofErr w:type="spellStart"/>
      <w:r>
        <w:t>Freundlich</w:t>
      </w:r>
      <w:proofErr w:type="spellEnd"/>
      <w:r>
        <w:t xml:space="preserve"> isotherm soil-water partition </w:t>
      </w:r>
      <w:proofErr w:type="gramStart"/>
      <w:r>
        <w:t>coefficient  (</w:t>
      </w:r>
      <w:proofErr w:type="gramEnd"/>
      <w:r>
        <w:t>(</w:t>
      </w:r>
      <w:r w:rsidRPr="006273F1">
        <w:rPr>
          <w:vertAlign w:val="superscript"/>
        </w:rPr>
        <w:t>mg</w:t>
      </w:r>
      <w:r>
        <w:t>/</w:t>
      </w:r>
      <w:r w:rsidRPr="006273F1">
        <w:rPr>
          <w:vertAlign w:val="subscript"/>
        </w:rPr>
        <w:t>g</w:t>
      </w:r>
      <w:r>
        <w:t>)(</w:t>
      </w:r>
      <w:r w:rsidRPr="006273F1">
        <w:rPr>
          <w:vertAlign w:val="superscript"/>
        </w:rPr>
        <w:t>L</w:t>
      </w:r>
      <w:r>
        <w:t>/</w:t>
      </w:r>
      <w:r w:rsidRPr="006273F1">
        <w:rPr>
          <w:vertAlign w:val="subscript"/>
        </w:rPr>
        <w:t>mg</w:t>
      </w:r>
      <w:r>
        <w:t>))</w:t>
      </w:r>
    </w:p>
    <w:p w14:paraId="47D7B94D" w14:textId="69543CDA" w:rsidR="006273F1" w:rsidRDefault="006273F1">
      <w:r>
        <w:t xml:space="preserve">C = concentration of chlordane in the aqueous </w:t>
      </w:r>
      <w:proofErr w:type="gramStart"/>
      <w:r>
        <w:t>phase  at</w:t>
      </w:r>
      <w:proofErr w:type="gramEnd"/>
      <w:r>
        <w:t xml:space="preserve"> equilibrium </w:t>
      </w:r>
      <w:r w:rsidR="00F11875">
        <w:t>(</w:t>
      </w:r>
      <w:r w:rsidR="00F11875" w:rsidRPr="006273F1">
        <w:rPr>
          <w:vertAlign w:val="superscript"/>
        </w:rPr>
        <w:t>mg</w:t>
      </w:r>
      <w:r w:rsidR="00F11875">
        <w:t>/</w:t>
      </w:r>
      <w:r w:rsidR="00F11875">
        <w:rPr>
          <w:vertAlign w:val="subscript"/>
        </w:rPr>
        <w:t>L</w:t>
      </w:r>
      <w:r w:rsidR="00F11875">
        <w:t>)</w:t>
      </w:r>
    </w:p>
    <w:p w14:paraId="393905C6" w14:textId="287F4E48" w:rsidR="00F11875" w:rsidRDefault="009C1CF6"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 xml:space="preserve">n </m:t>
            </m:r>
          </m:den>
        </m:f>
      </m:oMath>
      <w:r w:rsidR="00F11875">
        <w:t xml:space="preserve">= </w:t>
      </w:r>
      <w:proofErr w:type="spellStart"/>
      <w:r w:rsidR="00F11875">
        <w:t>Freundlich</w:t>
      </w:r>
      <w:proofErr w:type="spellEnd"/>
      <w:r w:rsidR="00F11875">
        <w:t xml:space="preserve"> isotherm intensity parameter (</w:t>
      </w:r>
      <w:proofErr w:type="spellStart"/>
      <w:r w:rsidR="00F11875">
        <w:t>unitless</w:t>
      </w:r>
      <w:proofErr w:type="spellEnd"/>
      <w:r w:rsidR="00F11875">
        <w:t>)</w:t>
      </w:r>
    </w:p>
    <w:p w14:paraId="170546CE" w14:textId="77777777" w:rsidR="00451B0F" w:rsidRDefault="00451B0F"/>
    <w:p w14:paraId="094A63B4" w14:textId="77777777" w:rsidR="000146F3" w:rsidRDefault="000146F3"/>
    <w:p w14:paraId="05DF9303" w14:textId="77777777" w:rsidR="000146F3" w:rsidRDefault="000146F3"/>
    <w:p w14:paraId="6D178A6B" w14:textId="77777777" w:rsidR="000146F3" w:rsidRDefault="000146F3"/>
    <w:p w14:paraId="3B260AC8" w14:textId="77777777" w:rsidR="000146F3" w:rsidRDefault="000146F3"/>
    <w:p w14:paraId="3D786150" w14:textId="77777777" w:rsidR="000146F3" w:rsidRPr="00F11875" w:rsidRDefault="000146F3"/>
    <w:p w14:paraId="43EB7292" w14:textId="77777777" w:rsidR="007A1907" w:rsidRPr="003D1ED1" w:rsidRDefault="00173F54">
      <w:pPr>
        <w:rPr>
          <w:b/>
        </w:rPr>
      </w:pPr>
      <w:r>
        <w:rPr>
          <w:b/>
        </w:rPr>
        <w:t>RESULTS AND</w:t>
      </w:r>
      <w:r w:rsidR="00B94463" w:rsidRPr="003D1ED1">
        <w:rPr>
          <w:b/>
        </w:rPr>
        <w:t xml:space="preserve"> DISCUSSION</w:t>
      </w:r>
    </w:p>
    <w:p w14:paraId="55EFA092" w14:textId="3B2FE552" w:rsidR="001477B4" w:rsidRDefault="001477B4">
      <w:r>
        <w:t xml:space="preserve"> </w:t>
      </w:r>
      <w:r w:rsidR="00451B0F">
        <w:t xml:space="preserve">With both models fit to the data set it was clear that the </w:t>
      </w:r>
      <w:proofErr w:type="spellStart"/>
      <w:r w:rsidR="00451B0F">
        <w:t>Freundlich</w:t>
      </w:r>
      <w:proofErr w:type="spellEnd"/>
      <w:r w:rsidR="00451B0F">
        <w:t xml:space="preserve"> model was the most appropriate.</w:t>
      </w:r>
      <w:r w:rsidR="005C6920">
        <w:t xml:space="preserve"> </w:t>
      </w:r>
      <w:r w:rsidR="00B611C2">
        <w:t xml:space="preserve"> </w:t>
      </w:r>
      <w:r w:rsidR="005C6920">
        <w:t xml:space="preserve">In this case it was not necessary to conduct proper statistical tests for goodness of fit because of how well the model fit the data. </w:t>
      </w:r>
      <w:r w:rsidR="00B611C2">
        <w:t xml:space="preserve">The fitted model can be seen below in Figure 1 with the partition coefficient and intensity parameter noted on the Figure. </w:t>
      </w:r>
    </w:p>
    <w:p w14:paraId="64EFDC26" w14:textId="5B399802" w:rsidR="00584D65" w:rsidRDefault="00320A2D" w:rsidP="00584D65">
      <w:pPr>
        <w:jc w:val="center"/>
      </w:pPr>
      <w:r>
        <w:object w:dxaOrig="10800" w:dyaOrig="10800" w14:anchorId="6569B6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82.5pt" o:ole="">
            <v:imagedata r:id="rId5" o:title="" croptop="11973f"/>
          </v:shape>
          <o:OLEObject Type="Embed" ProgID="KGraph_Plot" ShapeID="_x0000_i1025" DrawAspect="Content" ObjectID="_1441471186" r:id="rId6"/>
        </w:object>
      </w:r>
    </w:p>
    <w:p w14:paraId="0C4E10B1" w14:textId="77777777" w:rsidR="00451B0F" w:rsidRDefault="00584D65" w:rsidP="00451B0F">
      <w:pPr>
        <w:spacing w:after="0" w:line="240" w:lineRule="auto"/>
        <w:ind w:left="720"/>
        <w:rPr>
          <w:b/>
        </w:rPr>
      </w:pPr>
      <w:r>
        <w:rPr>
          <w:b/>
        </w:rPr>
        <w:t xml:space="preserve">Figure 1. </w:t>
      </w:r>
      <w:r w:rsidR="00B95D8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4993C" wp14:editId="3707661E">
                <wp:simplePos x="0" y="0"/>
                <wp:positionH relativeFrom="column">
                  <wp:posOffset>2886075</wp:posOffset>
                </wp:positionH>
                <wp:positionV relativeFrom="paragraph">
                  <wp:posOffset>-3368040</wp:posOffset>
                </wp:positionV>
                <wp:extent cx="1971675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F03FC3" w14:textId="77777777" w:rsidR="00CD46F2" w:rsidRDefault="00CD46F2" w:rsidP="00B95D88">
                            <w:r>
                              <w:t xml:space="preserve">K=245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)(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oMath>
                          </w:p>
                          <w:p w14:paraId="38CAFC0C" w14:textId="77777777" w:rsidR="00CD46F2" w:rsidRPr="00D05422" w:rsidRDefault="009C1CF6" w:rsidP="00B95D88"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=0.4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27.25pt;margin-top:-265.2pt;width:155.2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" filled="f" stroked="f" strokeweight=".5pt">
                <v:textbox>
                  <w:txbxContent>
                    <w:p w14:paraId="41F03FC3" w14:textId="77777777" w:rsidR="00CD46F2" w:rsidRDefault="00CD46F2" w:rsidP="00B95D88">
                      <w:r>
                        <w:t xml:space="preserve">K=245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mg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mg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</w:p>
                    <w:p w14:paraId="38CAFC0C" w14:textId="77777777" w:rsidR="00CD46F2" w:rsidRPr="00D05422" w:rsidRDefault="00CD46F2" w:rsidP="00B95D88"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=0.4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D46F2">
        <w:rPr>
          <w:b/>
        </w:rPr>
        <w:t xml:space="preserve">Fitted </w:t>
      </w:r>
      <w:proofErr w:type="spellStart"/>
      <w:r w:rsidR="00CD46F2">
        <w:rPr>
          <w:b/>
        </w:rPr>
        <w:t>Freundlich</w:t>
      </w:r>
      <w:proofErr w:type="spellEnd"/>
      <w:r w:rsidR="00CD46F2">
        <w:rPr>
          <w:b/>
        </w:rPr>
        <w:t xml:space="preserve"> sorption isotherm for </w:t>
      </w:r>
      <w:r w:rsidR="00451B0F">
        <w:rPr>
          <w:b/>
        </w:rPr>
        <w:t>Chlordane concentration when water is</w:t>
      </w:r>
    </w:p>
    <w:p w14:paraId="60DD9936" w14:textId="08E36779" w:rsidR="001268BA" w:rsidRPr="00584D65" w:rsidRDefault="00451B0F" w:rsidP="00451B0F">
      <w:pPr>
        <w:spacing w:after="0" w:line="240" w:lineRule="auto"/>
        <w:ind w:left="720" w:firstLine="720"/>
        <w:rPr>
          <w:b/>
        </w:rPr>
      </w:pPr>
      <w:r>
        <w:rPr>
          <w:b/>
        </w:rPr>
        <w:t xml:space="preserve">   </w:t>
      </w:r>
      <w:proofErr w:type="gramStart"/>
      <w:r>
        <w:rPr>
          <w:b/>
        </w:rPr>
        <w:t>treated</w:t>
      </w:r>
      <w:proofErr w:type="gramEnd"/>
      <w:r>
        <w:rPr>
          <w:b/>
        </w:rPr>
        <w:t xml:space="preserve"> with GAC.</w:t>
      </w:r>
    </w:p>
    <w:p w14:paraId="74E993E1" w14:textId="77777777" w:rsidR="00CD46F2" w:rsidRDefault="00CD46F2">
      <w:r>
        <w:br w:type="page"/>
      </w:r>
    </w:p>
    <w:p w14:paraId="579C2AA1" w14:textId="61D57692" w:rsidR="00B41AD0" w:rsidRDefault="00B41AD0">
      <w:pPr>
        <w:rPr>
          <w:b/>
          <w:sz w:val="24"/>
        </w:rPr>
      </w:pPr>
      <w:r w:rsidRPr="00DD0309">
        <w:rPr>
          <w:b/>
          <w:sz w:val="24"/>
        </w:rPr>
        <w:lastRenderedPageBreak/>
        <w:t xml:space="preserve">Appendix A: Raw Data </w:t>
      </w:r>
    </w:p>
    <w:p w14:paraId="70531DB2" w14:textId="77777777" w:rsidR="00DD0309" w:rsidRPr="00DD0309" w:rsidRDefault="00DD0309">
      <w:pPr>
        <w:rPr>
          <w:b/>
          <w:sz w:val="24"/>
        </w:rPr>
      </w:pPr>
    </w:p>
    <w:p w14:paraId="5853AD23" w14:textId="2B33766E" w:rsidR="00DD0309" w:rsidRPr="00DD0309" w:rsidRDefault="00DD0309">
      <w:pPr>
        <w:rPr>
          <w:b/>
        </w:rPr>
      </w:pPr>
      <w:proofErr w:type="gramStart"/>
      <w:r>
        <w:rPr>
          <w:b/>
        </w:rPr>
        <w:t>Table 1.</w:t>
      </w:r>
      <w:proofErr w:type="gramEnd"/>
      <w:r>
        <w:rPr>
          <w:b/>
        </w:rPr>
        <w:t xml:space="preserve"> Provided Sorption Data</w:t>
      </w:r>
    </w:p>
    <w:tbl>
      <w:tblPr>
        <w:tblW w:w="6405" w:type="dxa"/>
        <w:tblInd w:w="93" w:type="dxa"/>
        <w:tblLook w:val="04A0" w:firstRow="1" w:lastRow="0" w:firstColumn="1" w:lastColumn="0" w:noHBand="0" w:noVBand="1"/>
      </w:tblPr>
      <w:tblGrid>
        <w:gridCol w:w="1611"/>
        <w:gridCol w:w="1845"/>
        <w:gridCol w:w="1611"/>
        <w:gridCol w:w="1800"/>
      </w:tblGrid>
      <w:tr w:rsidR="00CD46F2" w:rsidRPr="00CD46F2" w14:paraId="2304973E" w14:textId="77777777" w:rsidTr="00DD0309">
        <w:trPr>
          <w:trHeight w:val="36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A3775" w14:textId="2E643346" w:rsidR="00CD46F2" w:rsidRPr="00DD0309" w:rsidRDefault="00DD0309" w:rsidP="00DD03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  <w:r w:rsidRPr="00DD0309">
              <w:rPr>
                <w:rFonts w:cstheme="minorHAnsi"/>
                <w:sz w:val="24"/>
                <w:szCs w:val="24"/>
              </w:rPr>
              <w:t xml:space="preserve">oncentration of chlordane </w:t>
            </w:r>
            <w:r>
              <w:rPr>
                <w:rFonts w:cstheme="minorHAnsi"/>
                <w:sz w:val="24"/>
                <w:szCs w:val="24"/>
              </w:rPr>
              <w:t>(</w:t>
            </w:r>
            <w:r w:rsidR="00CD46F2"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mg/L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FBECC" w14:textId="77777777" w:rsidR="00DD0309" w:rsidRDefault="00DD0309" w:rsidP="00DD03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Adsorbed Chlordane Concentration</w:t>
            </w:r>
          </w:p>
          <w:p w14:paraId="677E48F6" w14:textId="6ACDE5C9" w:rsidR="00CD46F2" w:rsidRPr="00DD0309" w:rsidRDefault="00DD0309" w:rsidP="00DD03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(</w:t>
            </w:r>
            <w:r w:rsidR="00CD46F2"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mg/g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1EDD0" w14:textId="55053153" w:rsidR="00CD46F2" w:rsidRPr="00DD0309" w:rsidRDefault="00DD0309" w:rsidP="00DD03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  <w:r w:rsidRPr="00DD0309">
              <w:rPr>
                <w:rFonts w:cstheme="minorHAnsi"/>
                <w:sz w:val="24"/>
                <w:szCs w:val="24"/>
              </w:rPr>
              <w:t xml:space="preserve">oncentration of chlordane </w:t>
            </w:r>
            <w:r>
              <w:rPr>
                <w:rFonts w:cstheme="minorHAnsi"/>
                <w:sz w:val="24"/>
                <w:szCs w:val="24"/>
              </w:rPr>
              <w:t>(</w:t>
            </w: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mg/L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207D6" w14:textId="43420F59" w:rsidR="00DD0309" w:rsidRDefault="00DD0309" w:rsidP="00DD03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Adsorbed Chlordane Concentration</w:t>
            </w:r>
          </w:p>
          <w:p w14:paraId="14CD4CB6" w14:textId="6C535C34" w:rsidR="00CD46F2" w:rsidRPr="00DD0309" w:rsidRDefault="00DD0309" w:rsidP="00DD03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(</w:t>
            </w: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mg/g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)</w:t>
            </w:r>
          </w:p>
        </w:tc>
      </w:tr>
      <w:tr w:rsidR="00CD46F2" w:rsidRPr="00CD46F2" w14:paraId="28024AF7" w14:textId="77777777" w:rsidTr="00DD0309">
        <w:trPr>
          <w:trHeight w:val="36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AF70D" w14:textId="5817850E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452D0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9CC08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0.021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530E9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52.25</w:t>
            </w:r>
          </w:p>
        </w:tc>
      </w:tr>
      <w:tr w:rsidR="00CD46F2" w:rsidRPr="00CD46F2" w14:paraId="74566D9F" w14:textId="77777777" w:rsidTr="00DD0309">
        <w:trPr>
          <w:trHeight w:val="36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2A3EB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0.001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7656F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15.46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B1EED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0.022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E4E80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53.23</w:t>
            </w:r>
          </w:p>
        </w:tc>
      </w:tr>
      <w:tr w:rsidR="00CD46F2" w:rsidRPr="00CD46F2" w14:paraId="66388076" w14:textId="77777777" w:rsidTr="00DD0309">
        <w:trPr>
          <w:trHeight w:val="36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866E5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0.002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03BE0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20.40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5F4AB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0.023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7F400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54.18</w:t>
            </w:r>
          </w:p>
        </w:tc>
      </w:tr>
      <w:tr w:rsidR="00CD46F2" w:rsidRPr="00CD46F2" w14:paraId="01325EA6" w14:textId="77777777" w:rsidTr="00DD0309">
        <w:trPr>
          <w:trHeight w:val="36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50E41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0.003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08FDA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23.99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B9FE6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0.024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1FE38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55.11</w:t>
            </w:r>
          </w:p>
        </w:tc>
      </w:tr>
      <w:tr w:rsidR="00CD46F2" w:rsidRPr="00CD46F2" w14:paraId="483DD68B" w14:textId="77777777" w:rsidTr="00DD0309">
        <w:trPr>
          <w:trHeight w:val="36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5B18B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0.004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8CD8E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26.91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29E70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0.025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4E262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56.02</w:t>
            </w:r>
          </w:p>
        </w:tc>
      </w:tr>
      <w:tr w:rsidR="00CD46F2" w:rsidRPr="00CD46F2" w14:paraId="3153360D" w14:textId="77777777" w:rsidTr="00DD0309">
        <w:trPr>
          <w:trHeight w:val="36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C5F9A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0.005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C46E5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29.43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8C8FD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0.026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346E2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56.91</w:t>
            </w:r>
          </w:p>
        </w:tc>
      </w:tr>
      <w:tr w:rsidR="00CD46F2" w:rsidRPr="00CD46F2" w14:paraId="5FE34200" w14:textId="77777777" w:rsidTr="00DD0309">
        <w:trPr>
          <w:trHeight w:val="36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646A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0.006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23298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31.65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B9CE8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0.027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F1FC9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57.77</w:t>
            </w:r>
          </w:p>
        </w:tc>
      </w:tr>
      <w:tr w:rsidR="00CD46F2" w:rsidRPr="00CD46F2" w14:paraId="3EF95E14" w14:textId="77777777" w:rsidTr="00DD0309">
        <w:trPr>
          <w:trHeight w:val="36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7EDFE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0.007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1E3A5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33.67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6F785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0.028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2AD90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58.62</w:t>
            </w:r>
          </w:p>
        </w:tc>
      </w:tr>
      <w:tr w:rsidR="00CD46F2" w:rsidRPr="00CD46F2" w14:paraId="0EC528B9" w14:textId="77777777" w:rsidTr="00DD0309">
        <w:trPr>
          <w:trHeight w:val="36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0D56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0.008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BA7E8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35.51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55F4D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0.029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5D5BA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59.45</w:t>
            </w:r>
          </w:p>
        </w:tc>
      </w:tr>
      <w:tr w:rsidR="00CD46F2" w:rsidRPr="00CD46F2" w14:paraId="69E74F36" w14:textId="77777777" w:rsidTr="00DD0309">
        <w:trPr>
          <w:trHeight w:val="36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8071E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0.009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5CF6E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37.23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39E61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0.03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FCCF9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60.26</w:t>
            </w:r>
          </w:p>
        </w:tc>
      </w:tr>
      <w:tr w:rsidR="00CD46F2" w:rsidRPr="00CD46F2" w14:paraId="7B4BD319" w14:textId="77777777" w:rsidTr="00DD0309">
        <w:trPr>
          <w:trHeight w:val="36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6B3E4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0.01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01388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38.83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A4337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0.031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163BB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61.05</w:t>
            </w:r>
          </w:p>
        </w:tc>
      </w:tr>
      <w:tr w:rsidR="00CD46F2" w:rsidRPr="00CD46F2" w14:paraId="1C98B419" w14:textId="77777777" w:rsidTr="00DD0309">
        <w:trPr>
          <w:trHeight w:val="36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E61F1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0.011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017C5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40.34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CA367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0.032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58128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61.83</w:t>
            </w:r>
          </w:p>
        </w:tc>
      </w:tr>
      <w:tr w:rsidR="00CD46F2" w:rsidRPr="00CD46F2" w14:paraId="12B5308C" w14:textId="77777777" w:rsidTr="00DD0309">
        <w:trPr>
          <w:trHeight w:val="36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1F162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0.012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60F52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41.77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6AB02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0.033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B4CFC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62.60</w:t>
            </w:r>
          </w:p>
        </w:tc>
      </w:tr>
      <w:tr w:rsidR="00CD46F2" w:rsidRPr="00CD46F2" w14:paraId="0A6DF2B3" w14:textId="77777777" w:rsidTr="00DD0309">
        <w:trPr>
          <w:trHeight w:val="36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42BE6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0.013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4E382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43.13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8BA9C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0.034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BB7FA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63.35</w:t>
            </w:r>
          </w:p>
        </w:tc>
      </w:tr>
      <w:tr w:rsidR="00CD46F2" w:rsidRPr="00CD46F2" w14:paraId="548DC6B7" w14:textId="77777777" w:rsidTr="00DD0309">
        <w:trPr>
          <w:trHeight w:val="36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480B0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0.014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9BA9A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44.42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8778B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0.035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EE1EA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64.09</w:t>
            </w:r>
          </w:p>
        </w:tc>
      </w:tr>
      <w:tr w:rsidR="00CD46F2" w:rsidRPr="00CD46F2" w14:paraId="657639B8" w14:textId="77777777" w:rsidTr="00DD0309">
        <w:trPr>
          <w:trHeight w:val="36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D4C4C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0.015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4D614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45.67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58844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0.036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99217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64.82</w:t>
            </w:r>
          </w:p>
        </w:tc>
      </w:tr>
      <w:tr w:rsidR="00CD46F2" w:rsidRPr="00CD46F2" w14:paraId="036728DA" w14:textId="77777777" w:rsidTr="00DD0309">
        <w:trPr>
          <w:trHeight w:val="36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3EFC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0.016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9F5AD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46.86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2ED87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0.037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F1B4D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65.53</w:t>
            </w:r>
          </w:p>
        </w:tc>
      </w:tr>
      <w:tr w:rsidR="00CD46F2" w:rsidRPr="00CD46F2" w14:paraId="0975FD04" w14:textId="77777777" w:rsidTr="00DD0309">
        <w:trPr>
          <w:trHeight w:val="36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6D870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0.017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9FEBA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48.01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E0EB1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0.038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6966F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66.23</w:t>
            </w:r>
          </w:p>
        </w:tc>
      </w:tr>
      <w:tr w:rsidR="00CD46F2" w:rsidRPr="00CD46F2" w14:paraId="35055455" w14:textId="77777777" w:rsidTr="00DD0309">
        <w:trPr>
          <w:trHeight w:val="36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82A05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0.018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B1B2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49.12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DD620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0.039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C6903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66.93</w:t>
            </w:r>
          </w:p>
        </w:tc>
      </w:tr>
      <w:tr w:rsidR="00CD46F2" w:rsidRPr="00CD46F2" w14:paraId="1B0EDA2B" w14:textId="77777777" w:rsidTr="00DD0309">
        <w:trPr>
          <w:trHeight w:val="36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11C38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0.019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453ED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50.20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4A529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0.04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0C552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67.61</w:t>
            </w:r>
          </w:p>
        </w:tc>
      </w:tr>
      <w:tr w:rsidR="00CD46F2" w:rsidRPr="00CD46F2" w14:paraId="0D2E5A30" w14:textId="77777777" w:rsidTr="00DD0309">
        <w:trPr>
          <w:trHeight w:val="36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4755F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0.02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77782" w14:textId="77777777" w:rsidR="00CD46F2" w:rsidRPr="00DD0309" w:rsidRDefault="00CD46F2" w:rsidP="00CD46F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 w:rsidRPr="00DD0309"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51.24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08055" w14:textId="4C38AC98" w:rsidR="00CD46F2" w:rsidRPr="00DD0309" w:rsidRDefault="00DD0309" w:rsidP="00DD03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---------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80902" w14:textId="31275019" w:rsidR="00CD46F2" w:rsidRPr="00DD0309" w:rsidRDefault="00DD0309" w:rsidP="00DD030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zh-CN"/>
              </w:rPr>
              <w:t>--------</w:t>
            </w:r>
          </w:p>
        </w:tc>
      </w:tr>
    </w:tbl>
    <w:p w14:paraId="70B5925F" w14:textId="730DD677" w:rsidR="008F5200" w:rsidRDefault="008F5200"/>
    <w:sectPr w:rsidR="008F5200" w:rsidSect="00147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ED8"/>
    <w:rsid w:val="000146F3"/>
    <w:rsid w:val="00034ED8"/>
    <w:rsid w:val="001268BA"/>
    <w:rsid w:val="001477B4"/>
    <w:rsid w:val="00173F54"/>
    <w:rsid w:val="001F164A"/>
    <w:rsid w:val="002571E1"/>
    <w:rsid w:val="002D75E5"/>
    <w:rsid w:val="00320A2D"/>
    <w:rsid w:val="003D1ED1"/>
    <w:rsid w:val="00451B0F"/>
    <w:rsid w:val="004537E5"/>
    <w:rsid w:val="004F2E66"/>
    <w:rsid w:val="005123DA"/>
    <w:rsid w:val="00584D65"/>
    <w:rsid w:val="00590C1B"/>
    <w:rsid w:val="005C5D2A"/>
    <w:rsid w:val="005C6920"/>
    <w:rsid w:val="00613E16"/>
    <w:rsid w:val="006273F1"/>
    <w:rsid w:val="00675EE8"/>
    <w:rsid w:val="007A1907"/>
    <w:rsid w:val="007B7DCA"/>
    <w:rsid w:val="007D5E4A"/>
    <w:rsid w:val="007F130D"/>
    <w:rsid w:val="0085542C"/>
    <w:rsid w:val="00896E18"/>
    <w:rsid w:val="008A23AB"/>
    <w:rsid w:val="008F5200"/>
    <w:rsid w:val="009C1CF6"/>
    <w:rsid w:val="00B41AD0"/>
    <w:rsid w:val="00B52557"/>
    <w:rsid w:val="00B611C2"/>
    <w:rsid w:val="00B94463"/>
    <w:rsid w:val="00B95D88"/>
    <w:rsid w:val="00BB486C"/>
    <w:rsid w:val="00BE472D"/>
    <w:rsid w:val="00C53843"/>
    <w:rsid w:val="00C902C6"/>
    <w:rsid w:val="00CD46F2"/>
    <w:rsid w:val="00D277A2"/>
    <w:rsid w:val="00DC62DF"/>
    <w:rsid w:val="00DD0309"/>
    <w:rsid w:val="00E47FE4"/>
    <w:rsid w:val="00F11875"/>
    <w:rsid w:val="00F57770"/>
    <w:rsid w:val="00F86BA4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9176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4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52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273F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4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4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52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273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3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Bucknell University</Company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"Library &amp; IT"</dc:creator>
  <cp:lastModifiedBy>Peter Lander</cp:lastModifiedBy>
  <cp:revision>2</cp:revision>
  <dcterms:created xsi:type="dcterms:W3CDTF">2013-09-23T23:53:00Z</dcterms:created>
  <dcterms:modified xsi:type="dcterms:W3CDTF">2013-09-23T23:53:00Z</dcterms:modified>
</cp:coreProperties>
</file>