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40252" w14:textId="77777777" w:rsidR="00034ED8" w:rsidRPr="00675EE8" w:rsidRDefault="00034ED8">
      <w:pPr>
        <w:rPr>
          <w:b/>
          <w:sz w:val="28"/>
          <w:szCs w:val="28"/>
        </w:rPr>
      </w:pPr>
      <w:r w:rsidRPr="00034ED8">
        <w:rPr>
          <w:b/>
          <w:sz w:val="28"/>
          <w:szCs w:val="28"/>
        </w:rPr>
        <w:t>Memorandum</w:t>
      </w:r>
    </w:p>
    <w:p w14:paraId="4D69DDDA" w14:textId="77777777" w:rsidR="00034ED8" w:rsidRDefault="00034ED8">
      <w:r>
        <w:t xml:space="preserve">To: </w:t>
      </w:r>
      <w:r>
        <w:tab/>
      </w:r>
      <w:r w:rsidR="00DC62DF">
        <w:t>Deborah Sills, Ph.D.</w:t>
      </w:r>
    </w:p>
    <w:p w14:paraId="7170DAC5" w14:textId="77777777" w:rsidR="00FF52AD" w:rsidRDefault="00034ED8">
      <w:r>
        <w:t xml:space="preserve">From: </w:t>
      </w:r>
      <w:r>
        <w:tab/>
      </w:r>
      <w:r w:rsidR="001477B4">
        <w:t>CENG</w:t>
      </w:r>
      <w:r w:rsidR="00FF52AD">
        <w:t xml:space="preserve"> Laboratory </w:t>
      </w:r>
      <w:r w:rsidR="001477B4">
        <w:t xml:space="preserve">Team </w:t>
      </w:r>
      <w:proofErr w:type="spellStart"/>
      <w:r w:rsidR="001477B4">
        <w:t>Devinci</w:t>
      </w:r>
      <w:proofErr w:type="spellEnd"/>
      <w:r w:rsidR="001477B4">
        <w:t>: Deborah Sills</w:t>
      </w:r>
      <w:r w:rsidR="00FF52AD">
        <w:t>, Matt Higgins, and Kevin Gilmore</w:t>
      </w:r>
    </w:p>
    <w:p w14:paraId="1185AAF6" w14:textId="77777777" w:rsidR="00034ED8" w:rsidRDefault="00DC62DF">
      <w:r>
        <w:t xml:space="preserve">Date: </w:t>
      </w:r>
      <w:r>
        <w:tab/>
        <w:t>September 3, 2013</w:t>
      </w:r>
    </w:p>
    <w:p w14:paraId="4FFC485A" w14:textId="77777777" w:rsidR="00034ED8" w:rsidRDefault="00034ED8">
      <w:r>
        <w:t>Re:</w:t>
      </w:r>
      <w:r>
        <w:tab/>
        <w:t>Results of Marcellus Shale Wastewater Treatment Evaluation</w:t>
      </w:r>
    </w:p>
    <w:p w14:paraId="1C708C40" w14:textId="77777777" w:rsidR="00034ED8" w:rsidRDefault="00034ED8" w:rsidP="00F57770">
      <w:pPr>
        <w:pBdr>
          <w:bottom w:val="single" w:sz="4" w:space="1" w:color="000000" w:themeColor="text1"/>
        </w:pBdr>
      </w:pPr>
    </w:p>
    <w:p w14:paraId="24C127C7" w14:textId="77777777" w:rsidR="007A1907" w:rsidRDefault="007A1907"/>
    <w:p w14:paraId="211FBD6F" w14:textId="77777777" w:rsidR="007A1907" w:rsidRPr="003D1ED1" w:rsidRDefault="007A1907">
      <w:pPr>
        <w:rPr>
          <w:b/>
        </w:rPr>
      </w:pPr>
      <w:r w:rsidRPr="003D1ED1">
        <w:rPr>
          <w:b/>
        </w:rPr>
        <w:t>INTRODUCTION</w:t>
      </w:r>
    </w:p>
    <w:p w14:paraId="59B31162" w14:textId="77777777" w:rsidR="00034ED8" w:rsidRDefault="007A1907">
      <w:r>
        <w:t xml:space="preserve">Marcellus Shale is a </w:t>
      </w:r>
      <w:r w:rsidR="00675EE8">
        <w:t>geologic</w:t>
      </w:r>
      <w:r>
        <w:t xml:space="preserve"> formation found </w:t>
      </w:r>
      <w:r w:rsidR="00584D65">
        <w:t>approximately one mile beneath the northeastern United States. The formation contains significant reserves of n</w:t>
      </w:r>
      <w:r>
        <w:t>atural gas</w:t>
      </w:r>
      <w:r w:rsidR="00584D65">
        <w:t xml:space="preserve">, which constitutes a valuable natural resource for </w:t>
      </w:r>
      <w:r w:rsidR="00173F54">
        <w:t xml:space="preserve">the </w:t>
      </w:r>
      <w:r w:rsidR="00584D65">
        <w:t>U.S. (</w:t>
      </w:r>
      <w:proofErr w:type="spellStart"/>
      <w:r w:rsidR="00FF52AD">
        <w:t>Kargbo</w:t>
      </w:r>
      <w:proofErr w:type="spellEnd"/>
      <w:r w:rsidR="00FF52AD">
        <w:t xml:space="preserve"> et al., 2010</w:t>
      </w:r>
      <w:r>
        <w:t>)</w:t>
      </w:r>
      <w:r w:rsidR="00584D65">
        <w:t>.</w:t>
      </w:r>
      <w:r>
        <w:t xml:space="preserve"> </w:t>
      </w:r>
      <w:r w:rsidR="00E47FE4">
        <w:t xml:space="preserve"> </w:t>
      </w:r>
      <w:proofErr w:type="gramStart"/>
      <w:r>
        <w:t xml:space="preserve">This natural gas is extracted by drilling and fracturing the shale with high-pressure water, which allows </w:t>
      </w:r>
      <w:r w:rsidR="003D1ED1">
        <w:t>gas to flow out of the well</w:t>
      </w:r>
      <w:proofErr w:type="gramEnd"/>
      <w:r w:rsidR="003D1ED1">
        <w:t>. However, l</w:t>
      </w:r>
      <w:r>
        <w:t xml:space="preserve">arge quantities of water are needed for this process, and the wastewater that is generated is very salty. </w:t>
      </w:r>
      <w:r w:rsidR="00E47FE4">
        <w:t xml:space="preserve"> In addition, this wastewater is often sent to domestic wastewater treatment plants (</w:t>
      </w:r>
      <w:proofErr w:type="spellStart"/>
      <w:r w:rsidR="00E47FE4">
        <w:t>Urbina</w:t>
      </w:r>
      <w:proofErr w:type="spellEnd"/>
      <w:r w:rsidR="00E47FE4">
        <w:t>, 2011) before discharge to rivers and streams.  But current regulations mandate a total dissolved solids (TDS) concentration of 500 mg/L or less in waters received at Publicly Owned Treatment Works POTWs.</w:t>
      </w:r>
    </w:p>
    <w:p w14:paraId="45AEB012" w14:textId="77777777" w:rsidR="00E47FE4" w:rsidRDefault="007A1907">
      <w:r>
        <w:t>The objective of this experiment was to determine if a treatment process was effective in reducing the amount of salt in the wastewater.</w:t>
      </w:r>
      <w:r w:rsidR="003D1ED1">
        <w:t xml:space="preserve"> It is hypothesized that the chemical treatment process should result in a </w:t>
      </w:r>
      <w:r w:rsidR="002571E1">
        <w:t>significant</w:t>
      </w:r>
      <w:r w:rsidR="003D1ED1">
        <w:t xml:space="preserve"> reduction in salt.</w:t>
      </w:r>
      <w:r w:rsidR="00BB486C">
        <w:t xml:space="preserve">  But it is not known if the reduction in salt concentration will be sufficient such that the wastewater </w:t>
      </w:r>
      <w:r w:rsidR="00675EE8">
        <w:t>can be received at</w:t>
      </w:r>
      <w:r w:rsidR="00BB486C">
        <w:t xml:space="preserve"> a </w:t>
      </w:r>
      <w:r w:rsidR="00E47FE4">
        <w:t xml:space="preserve">POTW </w:t>
      </w:r>
      <w:r w:rsidR="00675EE8">
        <w:t>for subsequent treatment</w:t>
      </w:r>
      <w:r w:rsidR="00BB486C">
        <w:t>.</w:t>
      </w:r>
      <w:r w:rsidR="00E47FE4">
        <w:t xml:space="preserve"> </w:t>
      </w:r>
    </w:p>
    <w:p w14:paraId="59A589B7" w14:textId="77777777" w:rsidR="007A1907" w:rsidRPr="003D1ED1" w:rsidRDefault="00B94463">
      <w:pPr>
        <w:rPr>
          <w:b/>
        </w:rPr>
      </w:pPr>
      <w:r w:rsidRPr="003D1ED1">
        <w:rPr>
          <w:b/>
        </w:rPr>
        <w:t>METHODS</w:t>
      </w:r>
    </w:p>
    <w:p w14:paraId="3EA10FE4" w14:textId="77777777" w:rsidR="007A1907" w:rsidRDefault="007A1907">
      <w:r>
        <w:t>Samples of Marcellus wastewater</w:t>
      </w:r>
      <w:r w:rsidR="003D1ED1">
        <w:t>, before and after the treatment process of interest, were evaporated to leave only residual salt</w:t>
      </w:r>
      <w:r w:rsidR="00675EE8">
        <w:t xml:space="preserve"> or total dissolved solids (TDS)</w:t>
      </w:r>
      <w:r w:rsidR="003D1ED1">
        <w:t xml:space="preserve">. </w:t>
      </w:r>
      <w:r>
        <w:t>The mass</w:t>
      </w:r>
      <w:r w:rsidR="005123DA">
        <w:t>es of four</w:t>
      </w:r>
      <w:r w:rsidR="003D1ED1">
        <w:t xml:space="preserve"> replicates of each sample (container plus dry salt) were measured using an analytical balance, and the masses of the empty containers were subtracted to determine the masses of salt. </w:t>
      </w:r>
      <w:r w:rsidR="002571E1">
        <w:t xml:space="preserve">Mass values were converted to concentration by dividing by the initial sample volume. </w:t>
      </w:r>
      <w:r w:rsidR="00173F54">
        <w:t xml:space="preserve">An example calculation is shown in Appendix A. </w:t>
      </w:r>
      <w:r w:rsidR="003D1ED1">
        <w:t>Results were recorded, and statistical analysis was performed using spreadsheet software</w:t>
      </w:r>
      <w:r w:rsidR="00FF52AD">
        <w:t xml:space="preserve"> (Microsoft Excel, Redmond, WA)</w:t>
      </w:r>
      <w:r w:rsidR="003D1ED1">
        <w:t xml:space="preserve">. </w:t>
      </w:r>
    </w:p>
    <w:p w14:paraId="43EB7292" w14:textId="77777777" w:rsidR="007A1907" w:rsidRPr="003D1ED1" w:rsidRDefault="00173F54">
      <w:pPr>
        <w:rPr>
          <w:b/>
        </w:rPr>
      </w:pPr>
      <w:r>
        <w:rPr>
          <w:b/>
        </w:rPr>
        <w:t>RESULTS AND</w:t>
      </w:r>
      <w:r w:rsidR="00B94463" w:rsidRPr="003D1ED1">
        <w:rPr>
          <w:b/>
        </w:rPr>
        <w:t xml:space="preserve"> DISCUSSION</w:t>
      </w:r>
    </w:p>
    <w:p w14:paraId="3A973596" w14:textId="77D8C8AA" w:rsidR="001477B4" w:rsidRDefault="00B94463">
      <w:r>
        <w:t>The results of the measurements are shown in Figure 1</w:t>
      </w:r>
      <w:r w:rsidR="00173F54">
        <w:t xml:space="preserve"> (with raw data provided in Appendix B)</w:t>
      </w:r>
      <w:r>
        <w:t xml:space="preserve">. </w:t>
      </w:r>
      <w:r w:rsidR="00675EE8">
        <w:t xml:space="preserve"> The data presented in Figure 1 show that</w:t>
      </w:r>
      <w:r>
        <w:t xml:space="preserve"> the average </w:t>
      </w:r>
      <w:r w:rsidR="002571E1">
        <w:t>concentration of s</w:t>
      </w:r>
      <w:r>
        <w:t xml:space="preserve">alt in the treated samples was </w:t>
      </w:r>
      <w:r w:rsidR="008F66E6">
        <w:t xml:space="preserve">48% </w:t>
      </w:r>
      <w:r>
        <w:t>less than the av</w:t>
      </w:r>
      <w:r w:rsidR="003D1ED1">
        <w:t>erage in the untreated samples</w:t>
      </w:r>
      <w:r w:rsidR="008F66E6">
        <w:t xml:space="preserve">.  This difference was statistically significant with </w:t>
      </w:r>
      <w:r w:rsidR="001477B4">
        <w:t>P</w:t>
      </w:r>
      <w:r w:rsidR="008F66E6">
        <w:t xml:space="preserve"> </w:t>
      </w:r>
      <w:r w:rsidR="001477B4">
        <w:t>&lt;</w:t>
      </w:r>
      <w:r w:rsidR="008F66E6">
        <w:t xml:space="preserve"> </w:t>
      </w:r>
      <w:r w:rsidR="001477B4">
        <w:t>0.05</w:t>
      </w:r>
      <w:r w:rsidR="003D1ED1">
        <w:t xml:space="preserve">. Thus, the hypothesis was confirmed, that the treatment process significantly reduced the salt content of </w:t>
      </w:r>
      <w:r w:rsidR="003D1ED1">
        <w:lastRenderedPageBreak/>
        <w:t xml:space="preserve">the samples. Visual observations of the dry samples also suggested that the treatment process had an effect on the samples, as the untreated samples had a brown, rust-like color while the treated samples did not. It is possible that the treatment process removed the iron and other heavier metals from the wastewater, causing the change in color. </w:t>
      </w:r>
      <w:r w:rsidR="002571E1">
        <w:t>Both sample sets had nearly identical variability, with confidence intervals of less than 1% of the mean for both sets.</w:t>
      </w:r>
    </w:p>
    <w:p w14:paraId="55EFA092" w14:textId="77777777" w:rsidR="001477B4" w:rsidRDefault="001477B4">
      <w:r>
        <w:t>On the other hand, even though the treatment resulted in a significant reduction in salt content of the sa</w:t>
      </w:r>
      <w:r w:rsidR="00675EE8">
        <w:t>mples, the concentration of TDS in the treated samples</w:t>
      </w:r>
      <w:r>
        <w:t xml:space="preserve"> is approximately two orders of magnitude larger than the concentrations allowed to be received by Publicly Owned Treatment Works (POTWs) in Pennsylvania</w:t>
      </w:r>
      <w:r w:rsidR="00675EE8">
        <w:t xml:space="preserve"> (500 mg/L)</w:t>
      </w:r>
      <w:r>
        <w:t xml:space="preserve">.  </w:t>
      </w:r>
    </w:p>
    <w:p w14:paraId="64EFDC26" w14:textId="77777777" w:rsidR="00584D65" w:rsidRDefault="004537E5" w:rsidP="00584D65">
      <w:pPr>
        <w:jc w:val="center"/>
      </w:pPr>
      <w:r>
        <w:rPr>
          <w:noProof/>
        </w:rPr>
        <w:drawing>
          <wp:inline distT="0" distB="0" distL="0" distR="0" wp14:anchorId="540647AC" wp14:editId="0FF870A6">
            <wp:extent cx="4580890" cy="3463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atedvsUntreated.t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" t="16023" r="7923" b="2472"/>
                    <a:stretch/>
                  </pic:blipFill>
                  <pic:spPr bwMode="auto">
                    <a:xfrm>
                      <a:off x="0" y="0"/>
                      <a:ext cx="4582816" cy="3464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D9936" w14:textId="77777777" w:rsidR="001268BA" w:rsidRPr="00584D65" w:rsidRDefault="00584D65" w:rsidP="004F2E66">
      <w:pPr>
        <w:ind w:left="720"/>
        <w:rPr>
          <w:b/>
        </w:rPr>
      </w:pPr>
      <w:r>
        <w:rPr>
          <w:b/>
        </w:rPr>
        <w:t>Figure 1. Average s</w:t>
      </w:r>
      <w:r w:rsidR="00B94463" w:rsidRPr="00584D65">
        <w:rPr>
          <w:b/>
        </w:rPr>
        <w:t>alt content of untreated and treated wastewater samples. Error bars represent 95% confiden</w:t>
      </w:r>
      <w:r w:rsidR="00675EE8">
        <w:rPr>
          <w:b/>
        </w:rPr>
        <w:t>ce intervals</w:t>
      </w:r>
    </w:p>
    <w:p w14:paraId="304B8CAD" w14:textId="77777777" w:rsidR="003D1ED1" w:rsidRPr="00173F54" w:rsidRDefault="008F5200" w:rsidP="008F5200">
      <w:pPr>
        <w:jc w:val="center"/>
        <w:rPr>
          <w:i/>
        </w:rPr>
      </w:pPr>
      <w:r w:rsidRPr="00173F54">
        <w:rPr>
          <w:i/>
        </w:rPr>
        <w:t>…</w:t>
      </w:r>
      <w:proofErr w:type="gramStart"/>
      <w:r w:rsidRPr="00173F54">
        <w:rPr>
          <w:i/>
        </w:rPr>
        <w:t>or</w:t>
      </w:r>
      <w:proofErr w:type="gramEnd"/>
      <w:r w:rsidRPr="00173F54">
        <w:rPr>
          <w:i/>
        </w:rPr>
        <w:t>, if you chose to present this summary data as a table</w:t>
      </w:r>
      <w:r w:rsidR="00F86BA4">
        <w:rPr>
          <w:i/>
        </w:rPr>
        <w:t xml:space="preserve"> ( note location of titles )</w:t>
      </w:r>
      <w:r w:rsidRPr="00173F54">
        <w:rPr>
          <w:i/>
        </w:rPr>
        <w:t xml:space="preserve">… </w:t>
      </w:r>
    </w:p>
    <w:p w14:paraId="5D609D71" w14:textId="77777777" w:rsidR="008F5200" w:rsidRPr="008F5200" w:rsidRDefault="008F5200" w:rsidP="008F5200">
      <w:pPr>
        <w:jc w:val="center"/>
        <w:rPr>
          <w:b/>
        </w:rPr>
      </w:pPr>
      <w:r w:rsidRPr="008F5200">
        <w:rPr>
          <w:b/>
        </w:rPr>
        <w:t>Table 1. Average salt content of untreated and treated wastewater samples.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8F5200" w14:paraId="185BFAD9" w14:textId="77777777" w:rsidTr="00173F54">
        <w:trPr>
          <w:trHeight w:val="422"/>
          <w:jc w:val="center"/>
        </w:trPr>
        <w:tc>
          <w:tcPr>
            <w:tcW w:w="3192" w:type="dxa"/>
            <w:tcBorders>
              <w:top w:val="double" w:sz="4" w:space="0" w:color="auto"/>
              <w:bottom w:val="single" w:sz="8" w:space="0" w:color="000000" w:themeColor="text1"/>
            </w:tcBorders>
            <w:vAlign w:val="center"/>
          </w:tcPr>
          <w:p w14:paraId="5E84D4A9" w14:textId="77777777" w:rsidR="008F5200" w:rsidRPr="00173F54" w:rsidRDefault="008F5200" w:rsidP="00173F54">
            <w:pPr>
              <w:jc w:val="center"/>
              <w:rPr>
                <w:b/>
              </w:rPr>
            </w:pPr>
            <w:r w:rsidRPr="00173F54">
              <w:rPr>
                <w:b/>
              </w:rPr>
              <w:t>Sample Type</w:t>
            </w:r>
          </w:p>
        </w:tc>
        <w:tc>
          <w:tcPr>
            <w:tcW w:w="3192" w:type="dxa"/>
            <w:tcBorders>
              <w:top w:val="double" w:sz="4" w:space="0" w:color="auto"/>
              <w:bottom w:val="single" w:sz="8" w:space="0" w:color="000000" w:themeColor="text1"/>
            </w:tcBorders>
            <w:vAlign w:val="center"/>
          </w:tcPr>
          <w:p w14:paraId="28DF44B7" w14:textId="77777777" w:rsidR="008F5200" w:rsidRPr="00173F54" w:rsidRDefault="008F5200" w:rsidP="002571E1">
            <w:pPr>
              <w:jc w:val="center"/>
              <w:rPr>
                <w:b/>
              </w:rPr>
            </w:pPr>
            <w:r w:rsidRPr="00173F54">
              <w:rPr>
                <w:b/>
              </w:rPr>
              <w:t xml:space="preserve">Average </w:t>
            </w:r>
            <w:r w:rsidR="002571E1">
              <w:rPr>
                <w:b/>
              </w:rPr>
              <w:t>TDS Concentration</w:t>
            </w:r>
            <w:r w:rsidRPr="00173F54">
              <w:rPr>
                <w:b/>
              </w:rPr>
              <w:t xml:space="preserve">, </w:t>
            </w:r>
            <w:r w:rsidR="002571E1">
              <w:rPr>
                <w:b/>
              </w:rPr>
              <w:t>m</w:t>
            </w:r>
            <w:r w:rsidRPr="00173F54">
              <w:rPr>
                <w:b/>
              </w:rPr>
              <w:t>g</w:t>
            </w:r>
            <w:r w:rsidR="002571E1">
              <w:rPr>
                <w:b/>
              </w:rPr>
              <w:t>/L</w:t>
            </w:r>
          </w:p>
        </w:tc>
      </w:tr>
      <w:tr w:rsidR="008F5200" w14:paraId="6C35609E" w14:textId="77777777" w:rsidTr="00173F54">
        <w:trPr>
          <w:trHeight w:val="440"/>
          <w:jc w:val="center"/>
        </w:trPr>
        <w:tc>
          <w:tcPr>
            <w:tcW w:w="3192" w:type="dxa"/>
            <w:tcBorders>
              <w:top w:val="single" w:sz="8" w:space="0" w:color="000000" w:themeColor="text1"/>
              <w:bottom w:val="nil"/>
            </w:tcBorders>
            <w:vAlign w:val="center"/>
          </w:tcPr>
          <w:p w14:paraId="1BB30C8F" w14:textId="77777777" w:rsidR="008F5200" w:rsidRDefault="008F5200" w:rsidP="00173F54">
            <w:pPr>
              <w:jc w:val="center"/>
            </w:pPr>
            <w:r>
              <w:t>Untreated</w:t>
            </w:r>
          </w:p>
        </w:tc>
        <w:tc>
          <w:tcPr>
            <w:tcW w:w="3192" w:type="dxa"/>
            <w:tcBorders>
              <w:top w:val="single" w:sz="8" w:space="0" w:color="000000" w:themeColor="text1"/>
              <w:bottom w:val="nil"/>
            </w:tcBorders>
            <w:vAlign w:val="center"/>
          </w:tcPr>
          <w:p w14:paraId="3EF5867E" w14:textId="77777777" w:rsidR="008F5200" w:rsidRDefault="004F2E66" w:rsidP="00173F54">
            <w:pPr>
              <w:jc w:val="center"/>
            </w:pPr>
            <w:r>
              <w:t>148,642 ±</w:t>
            </w:r>
            <w:r w:rsidR="008F5200">
              <w:t xml:space="preserve"> </w:t>
            </w:r>
            <w:r>
              <w:t>812</w:t>
            </w:r>
          </w:p>
        </w:tc>
      </w:tr>
      <w:tr w:rsidR="008F5200" w14:paraId="0A621B14" w14:textId="77777777" w:rsidTr="00173F54">
        <w:trPr>
          <w:trHeight w:val="440"/>
          <w:jc w:val="center"/>
        </w:trPr>
        <w:tc>
          <w:tcPr>
            <w:tcW w:w="3192" w:type="dxa"/>
            <w:tcBorders>
              <w:top w:val="nil"/>
              <w:bottom w:val="double" w:sz="4" w:space="0" w:color="auto"/>
            </w:tcBorders>
            <w:vAlign w:val="center"/>
          </w:tcPr>
          <w:p w14:paraId="56C88D3A" w14:textId="77777777" w:rsidR="008F5200" w:rsidRDefault="008F5200" w:rsidP="00173F54">
            <w:pPr>
              <w:jc w:val="center"/>
            </w:pPr>
            <w:r>
              <w:t>Treated</w:t>
            </w:r>
          </w:p>
        </w:tc>
        <w:tc>
          <w:tcPr>
            <w:tcW w:w="3192" w:type="dxa"/>
            <w:tcBorders>
              <w:top w:val="nil"/>
              <w:bottom w:val="double" w:sz="4" w:space="0" w:color="auto"/>
            </w:tcBorders>
            <w:vAlign w:val="center"/>
          </w:tcPr>
          <w:p w14:paraId="66DEBF69" w14:textId="77777777" w:rsidR="008F5200" w:rsidRDefault="004F2E66" w:rsidP="00173F54">
            <w:pPr>
              <w:jc w:val="center"/>
            </w:pPr>
            <w:r>
              <w:t>77,412 ± 964</w:t>
            </w:r>
          </w:p>
        </w:tc>
      </w:tr>
    </w:tbl>
    <w:p w14:paraId="70B5925F" w14:textId="77777777" w:rsidR="008F5200" w:rsidRDefault="008F5200">
      <w:r>
        <w:tab/>
      </w:r>
      <w:r>
        <w:tab/>
      </w:r>
      <w:proofErr w:type="gramStart"/>
      <w:r w:rsidRPr="00173F54">
        <w:rPr>
          <w:vertAlign w:val="superscript"/>
        </w:rPr>
        <w:t>a</w:t>
      </w:r>
      <w:proofErr w:type="gramEnd"/>
      <w:r>
        <w:t xml:space="preserve"> Values in parentheses rep</w:t>
      </w:r>
      <w:r w:rsidR="004F2E66">
        <w:t>resent 95% confidence intervals</w:t>
      </w:r>
      <w:r>
        <w:t>.</w:t>
      </w:r>
    </w:p>
    <w:p w14:paraId="00BD4AFD" w14:textId="77777777" w:rsidR="003D1ED1" w:rsidRPr="008F5200" w:rsidRDefault="003D1ED1">
      <w:pPr>
        <w:rPr>
          <w:b/>
        </w:rPr>
      </w:pPr>
      <w:r w:rsidRPr="008F5200">
        <w:rPr>
          <w:b/>
        </w:rPr>
        <w:lastRenderedPageBreak/>
        <w:t>CONCLUSIONS</w:t>
      </w:r>
    </w:p>
    <w:p w14:paraId="78F284C7" w14:textId="77777777" w:rsidR="00B94463" w:rsidRDefault="003D1ED1">
      <w:r>
        <w:t>By confirming the effects of the treatment process, the objective of</w:t>
      </w:r>
      <w:r w:rsidR="00F86BA4">
        <w:t xml:space="preserve"> the experiment was achieved. </w:t>
      </w:r>
      <w:r w:rsidR="008F5200">
        <w:t xml:space="preserve">However, the treated samples still have much more salt </w:t>
      </w:r>
      <w:r w:rsidR="001477B4">
        <w:t>than is allowed i</w:t>
      </w:r>
      <w:r w:rsidR="001268BA">
        <w:t>n wastewaters received by POTWs</w:t>
      </w:r>
      <w:r w:rsidR="008F5200">
        <w:t xml:space="preserve"> </w:t>
      </w:r>
      <w:r w:rsidR="001268BA">
        <w:t xml:space="preserve">or fresh bodies of water, </w:t>
      </w:r>
      <w:r w:rsidR="008F5200">
        <w:t>so additional treatment should be investigated.</w:t>
      </w:r>
      <w:r w:rsidR="002571E1">
        <w:t xml:space="preserve"> </w:t>
      </w:r>
      <w:r w:rsidR="008F5200">
        <w:t>Furthermore, the economic viability of the process must be investigated prior to broader implementation.</w:t>
      </w:r>
    </w:p>
    <w:p w14:paraId="0ADCC154" w14:textId="77777777" w:rsidR="00173F54" w:rsidRPr="008F5200" w:rsidRDefault="00173F54" w:rsidP="00173F54">
      <w:pPr>
        <w:rPr>
          <w:b/>
        </w:rPr>
      </w:pPr>
      <w:r>
        <w:rPr>
          <w:b/>
        </w:rPr>
        <w:t>APPENDIX A</w:t>
      </w:r>
      <w:r w:rsidRPr="008F5200">
        <w:rPr>
          <w:b/>
        </w:rPr>
        <w:t>:  SAMPLE CALCULATION</w:t>
      </w:r>
    </w:p>
    <w:p w14:paraId="51F17C45" w14:textId="77777777" w:rsidR="00173F54" w:rsidRDefault="00173F54" w:rsidP="00173F54">
      <w:pPr>
        <w:ind w:right="-270"/>
      </w:pPr>
      <w:r>
        <w:t>Mass of s</w:t>
      </w:r>
      <w:r w:rsidR="007B7DCA">
        <w:t xml:space="preserve">alt in sample, g = Dry mass of dish </w:t>
      </w:r>
      <w:r>
        <w:t>&amp; salt after drying</w:t>
      </w:r>
      <w:r w:rsidR="007B7DCA">
        <w:t xml:space="preserve">, g – Initial dry mass of empty dish, </w:t>
      </w:r>
      <w:r>
        <w:t>g</w:t>
      </w:r>
    </w:p>
    <w:p w14:paraId="38394B38" w14:textId="77777777" w:rsidR="00173F54" w:rsidRDefault="00F86BA4" w:rsidP="00173F54">
      <w:r>
        <w:t>Example,</w:t>
      </w:r>
      <w:r w:rsidR="00173F54">
        <w:t xml:space="preserve"> </w:t>
      </w:r>
      <w:r w:rsidR="007B7DCA">
        <w:t>Dish</w:t>
      </w:r>
      <w:r w:rsidR="00173F54">
        <w:t xml:space="preserve"> 1</w:t>
      </w:r>
      <w:r w:rsidR="007B7DCA">
        <w:t>UT</w:t>
      </w:r>
      <w:r w:rsidR="00173F54">
        <w:t>:</w:t>
      </w:r>
      <w:r>
        <w:t xml:space="preserve"> </w:t>
      </w:r>
      <w:r w:rsidR="007B7DCA">
        <w:t>1.747</w:t>
      </w:r>
      <w:r w:rsidR="00173F54">
        <w:t xml:space="preserve"> g – </w:t>
      </w:r>
      <w:r w:rsidR="007B7DCA">
        <w:t>0.9987</w:t>
      </w:r>
      <w:r w:rsidR="00173F54">
        <w:t xml:space="preserve"> g = </w:t>
      </w:r>
      <w:r w:rsidR="007B7DCA">
        <w:t>0.7483</w:t>
      </w:r>
      <w:r w:rsidR="00173F54">
        <w:t xml:space="preserve"> g</w:t>
      </w:r>
    </w:p>
    <w:p w14:paraId="09076941" w14:textId="77777777" w:rsidR="00173F54" w:rsidRDefault="00173F54" w:rsidP="00173F54"/>
    <w:p w14:paraId="7C5DA825" w14:textId="77777777" w:rsidR="008F5200" w:rsidRPr="008F5200" w:rsidRDefault="00173F54">
      <w:pPr>
        <w:rPr>
          <w:b/>
        </w:rPr>
      </w:pPr>
      <w:r>
        <w:rPr>
          <w:b/>
        </w:rPr>
        <w:t>APPENDIX B</w:t>
      </w:r>
      <w:r w:rsidR="008F5200" w:rsidRPr="008F5200">
        <w:rPr>
          <w:b/>
        </w:rPr>
        <w:t>:  RAW DATA</w:t>
      </w:r>
    </w:p>
    <w:p w14:paraId="300882DC" w14:textId="77777777" w:rsidR="008F5200" w:rsidRDefault="008F5200">
      <w:r>
        <w:t>Untreated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548"/>
        <w:gridCol w:w="1368"/>
        <w:gridCol w:w="1368"/>
        <w:gridCol w:w="1368"/>
        <w:gridCol w:w="1368"/>
        <w:gridCol w:w="1368"/>
      </w:tblGrid>
      <w:tr w:rsidR="008F5200" w14:paraId="29267168" w14:textId="77777777" w:rsidTr="008F5200">
        <w:tc>
          <w:tcPr>
            <w:tcW w:w="1188" w:type="dxa"/>
            <w:vAlign w:val="center"/>
          </w:tcPr>
          <w:p w14:paraId="51910FA8" w14:textId="77777777" w:rsidR="008F5200" w:rsidRDefault="004F2E66" w:rsidP="008F5200">
            <w:pPr>
              <w:jc w:val="center"/>
            </w:pPr>
            <w:r>
              <w:t xml:space="preserve">Dish </w:t>
            </w:r>
            <w:r w:rsidR="008F5200">
              <w:t>#</w:t>
            </w:r>
          </w:p>
        </w:tc>
        <w:tc>
          <w:tcPr>
            <w:tcW w:w="1548" w:type="dxa"/>
            <w:vAlign w:val="center"/>
          </w:tcPr>
          <w:p w14:paraId="451282C9" w14:textId="77777777" w:rsidR="008F5200" w:rsidRDefault="004F2E66" w:rsidP="004F2E66">
            <w:pPr>
              <w:jc w:val="center"/>
            </w:pPr>
            <w:r>
              <w:t>Mass of Dish</w:t>
            </w:r>
            <w:r w:rsidR="008F5200">
              <w:t>, g</w:t>
            </w:r>
          </w:p>
        </w:tc>
        <w:tc>
          <w:tcPr>
            <w:tcW w:w="1368" w:type="dxa"/>
            <w:vAlign w:val="center"/>
          </w:tcPr>
          <w:p w14:paraId="7230424B" w14:textId="77777777" w:rsidR="008F5200" w:rsidRDefault="008F5200" w:rsidP="008F5200">
            <w:pPr>
              <w:jc w:val="center"/>
            </w:pPr>
            <w:r>
              <w:t>Dry Mass With Salt, g</w:t>
            </w:r>
          </w:p>
        </w:tc>
        <w:tc>
          <w:tcPr>
            <w:tcW w:w="1368" w:type="dxa"/>
            <w:vAlign w:val="center"/>
          </w:tcPr>
          <w:p w14:paraId="406C18F4" w14:textId="77777777" w:rsidR="008F5200" w:rsidRDefault="008F5200" w:rsidP="008F5200">
            <w:pPr>
              <w:jc w:val="center"/>
            </w:pPr>
            <w:r>
              <w:t>Mass of Salt, g</w:t>
            </w:r>
          </w:p>
        </w:tc>
        <w:tc>
          <w:tcPr>
            <w:tcW w:w="1368" w:type="dxa"/>
            <w:vAlign w:val="center"/>
          </w:tcPr>
          <w:p w14:paraId="0E061D17" w14:textId="77777777" w:rsidR="008F5200" w:rsidRDefault="008F5200" w:rsidP="008F5200">
            <w:pPr>
              <w:jc w:val="center"/>
            </w:pPr>
            <w:r>
              <w:t>Average Mass of Salt, g</w:t>
            </w:r>
          </w:p>
        </w:tc>
        <w:tc>
          <w:tcPr>
            <w:tcW w:w="1368" w:type="dxa"/>
            <w:vAlign w:val="center"/>
          </w:tcPr>
          <w:p w14:paraId="1B96A3AB" w14:textId="77777777" w:rsidR="008F5200" w:rsidRDefault="008F5200" w:rsidP="008F5200">
            <w:pPr>
              <w:jc w:val="center"/>
            </w:pPr>
            <w:r>
              <w:t>Standard Deviation, g</w:t>
            </w:r>
          </w:p>
        </w:tc>
        <w:tc>
          <w:tcPr>
            <w:tcW w:w="1368" w:type="dxa"/>
            <w:vAlign w:val="center"/>
          </w:tcPr>
          <w:p w14:paraId="7D11A651" w14:textId="77777777" w:rsidR="008F5200" w:rsidRDefault="008F5200" w:rsidP="008F5200">
            <w:pPr>
              <w:jc w:val="center"/>
            </w:pPr>
            <w:r>
              <w:t>95% Confidence Interval, g</w:t>
            </w:r>
          </w:p>
        </w:tc>
      </w:tr>
      <w:tr w:rsidR="008F5200" w14:paraId="76002106" w14:textId="77777777" w:rsidTr="008F5200">
        <w:tc>
          <w:tcPr>
            <w:tcW w:w="1188" w:type="dxa"/>
            <w:vAlign w:val="center"/>
          </w:tcPr>
          <w:p w14:paraId="42D95F8C" w14:textId="77777777" w:rsidR="008F5200" w:rsidRDefault="008F5200" w:rsidP="008F5200">
            <w:pPr>
              <w:jc w:val="center"/>
            </w:pPr>
            <w:r>
              <w:t>1</w:t>
            </w:r>
            <w:r w:rsidR="004F2E66">
              <w:t>UT</w:t>
            </w:r>
          </w:p>
        </w:tc>
        <w:tc>
          <w:tcPr>
            <w:tcW w:w="1548" w:type="dxa"/>
            <w:vAlign w:val="center"/>
          </w:tcPr>
          <w:p w14:paraId="2833639D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0.9987</w:t>
            </w:r>
          </w:p>
        </w:tc>
        <w:tc>
          <w:tcPr>
            <w:tcW w:w="1368" w:type="dxa"/>
            <w:vAlign w:val="center"/>
          </w:tcPr>
          <w:p w14:paraId="56814B23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1.747</w:t>
            </w:r>
          </w:p>
        </w:tc>
        <w:tc>
          <w:tcPr>
            <w:tcW w:w="1368" w:type="dxa"/>
            <w:vAlign w:val="center"/>
          </w:tcPr>
          <w:p w14:paraId="392C5408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0.7483</w:t>
            </w:r>
          </w:p>
        </w:tc>
        <w:tc>
          <w:tcPr>
            <w:tcW w:w="1368" w:type="dxa"/>
            <w:vMerge w:val="restart"/>
            <w:vAlign w:val="center"/>
          </w:tcPr>
          <w:p w14:paraId="74A09A55" w14:textId="77777777" w:rsidR="008F5200" w:rsidRDefault="004F2E66" w:rsidP="008F5200">
            <w:pPr>
              <w:jc w:val="center"/>
            </w:pPr>
            <w:r>
              <w:t>0.7439</w:t>
            </w:r>
          </w:p>
        </w:tc>
        <w:tc>
          <w:tcPr>
            <w:tcW w:w="1368" w:type="dxa"/>
            <w:vMerge w:val="restart"/>
            <w:vAlign w:val="center"/>
          </w:tcPr>
          <w:p w14:paraId="504DB081" w14:textId="77777777" w:rsidR="008F5200" w:rsidRDefault="004F2E66" w:rsidP="008F5200">
            <w:pPr>
              <w:jc w:val="center"/>
            </w:pPr>
            <w:r>
              <w:t>0.004</w:t>
            </w:r>
          </w:p>
        </w:tc>
        <w:tc>
          <w:tcPr>
            <w:tcW w:w="1368" w:type="dxa"/>
            <w:vMerge w:val="restart"/>
            <w:vAlign w:val="center"/>
          </w:tcPr>
          <w:p w14:paraId="4F7927FE" w14:textId="77777777" w:rsidR="008F5200" w:rsidRDefault="004F2E66" w:rsidP="008F5200">
            <w:pPr>
              <w:jc w:val="center"/>
            </w:pPr>
            <w:r>
              <w:t>0.74 ± 0.004</w:t>
            </w:r>
          </w:p>
        </w:tc>
      </w:tr>
      <w:tr w:rsidR="008F5200" w14:paraId="6371AA78" w14:textId="77777777" w:rsidTr="008F5200">
        <w:tc>
          <w:tcPr>
            <w:tcW w:w="1188" w:type="dxa"/>
            <w:vAlign w:val="center"/>
          </w:tcPr>
          <w:p w14:paraId="7DFFD6A4" w14:textId="77777777" w:rsidR="008F5200" w:rsidRDefault="008F5200" w:rsidP="008F5200">
            <w:pPr>
              <w:jc w:val="center"/>
            </w:pPr>
            <w:r>
              <w:t>2</w:t>
            </w:r>
            <w:r w:rsidR="004F2E66">
              <w:t>UT</w:t>
            </w:r>
          </w:p>
        </w:tc>
        <w:tc>
          <w:tcPr>
            <w:tcW w:w="1548" w:type="dxa"/>
            <w:vAlign w:val="center"/>
          </w:tcPr>
          <w:p w14:paraId="5ADA4E55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0.9982</w:t>
            </w:r>
          </w:p>
        </w:tc>
        <w:tc>
          <w:tcPr>
            <w:tcW w:w="1368" w:type="dxa"/>
            <w:vAlign w:val="center"/>
          </w:tcPr>
          <w:p w14:paraId="03FBFD5B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1.7413</w:t>
            </w:r>
          </w:p>
        </w:tc>
        <w:tc>
          <w:tcPr>
            <w:tcW w:w="1368" w:type="dxa"/>
            <w:vAlign w:val="center"/>
          </w:tcPr>
          <w:p w14:paraId="753343CD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0.7431</w:t>
            </w:r>
          </w:p>
        </w:tc>
        <w:tc>
          <w:tcPr>
            <w:tcW w:w="1368" w:type="dxa"/>
            <w:vMerge/>
          </w:tcPr>
          <w:p w14:paraId="4ABD1512" w14:textId="77777777" w:rsidR="008F5200" w:rsidRDefault="008F5200"/>
        </w:tc>
        <w:tc>
          <w:tcPr>
            <w:tcW w:w="1368" w:type="dxa"/>
            <w:vMerge/>
          </w:tcPr>
          <w:p w14:paraId="52DE2848" w14:textId="77777777" w:rsidR="008F5200" w:rsidRDefault="008F5200"/>
        </w:tc>
        <w:tc>
          <w:tcPr>
            <w:tcW w:w="1368" w:type="dxa"/>
            <w:vMerge/>
          </w:tcPr>
          <w:p w14:paraId="2FBC3CB5" w14:textId="77777777" w:rsidR="008F5200" w:rsidRDefault="008F5200"/>
        </w:tc>
      </w:tr>
      <w:tr w:rsidR="008F5200" w14:paraId="0F60F02C" w14:textId="77777777" w:rsidTr="008F5200">
        <w:tc>
          <w:tcPr>
            <w:tcW w:w="1188" w:type="dxa"/>
            <w:vAlign w:val="center"/>
          </w:tcPr>
          <w:p w14:paraId="1AA598B6" w14:textId="77777777" w:rsidR="008F5200" w:rsidRDefault="008F5200" w:rsidP="008F5200">
            <w:pPr>
              <w:jc w:val="center"/>
            </w:pPr>
            <w:r>
              <w:t>3</w:t>
            </w:r>
            <w:r w:rsidR="004F2E66">
              <w:t>UT</w:t>
            </w:r>
          </w:p>
        </w:tc>
        <w:tc>
          <w:tcPr>
            <w:tcW w:w="1548" w:type="dxa"/>
            <w:vAlign w:val="center"/>
          </w:tcPr>
          <w:p w14:paraId="5DE02CCC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0.9978</w:t>
            </w:r>
          </w:p>
        </w:tc>
        <w:tc>
          <w:tcPr>
            <w:tcW w:w="1368" w:type="dxa"/>
            <w:vAlign w:val="center"/>
          </w:tcPr>
          <w:p w14:paraId="7C236E2A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1.7381</w:t>
            </w:r>
          </w:p>
        </w:tc>
        <w:tc>
          <w:tcPr>
            <w:tcW w:w="1368" w:type="dxa"/>
            <w:vAlign w:val="center"/>
          </w:tcPr>
          <w:p w14:paraId="76463C36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0.7403</w:t>
            </w:r>
          </w:p>
        </w:tc>
        <w:tc>
          <w:tcPr>
            <w:tcW w:w="1368" w:type="dxa"/>
            <w:vMerge/>
          </w:tcPr>
          <w:p w14:paraId="7F80E6AA" w14:textId="77777777" w:rsidR="008F5200" w:rsidRDefault="008F5200"/>
        </w:tc>
        <w:tc>
          <w:tcPr>
            <w:tcW w:w="1368" w:type="dxa"/>
            <w:vMerge/>
          </w:tcPr>
          <w:p w14:paraId="0F1DFC20" w14:textId="77777777" w:rsidR="008F5200" w:rsidRDefault="008F5200"/>
        </w:tc>
        <w:tc>
          <w:tcPr>
            <w:tcW w:w="1368" w:type="dxa"/>
            <w:vMerge/>
          </w:tcPr>
          <w:p w14:paraId="0C5E0E8D" w14:textId="77777777" w:rsidR="008F5200" w:rsidRDefault="008F5200"/>
        </w:tc>
      </w:tr>
      <w:tr w:rsidR="008F5200" w14:paraId="0C421C7E" w14:textId="77777777" w:rsidTr="008F5200">
        <w:tc>
          <w:tcPr>
            <w:tcW w:w="1188" w:type="dxa"/>
            <w:vAlign w:val="center"/>
          </w:tcPr>
          <w:p w14:paraId="14EA7D43" w14:textId="77777777" w:rsidR="008F5200" w:rsidRDefault="008F5200" w:rsidP="008F5200">
            <w:pPr>
              <w:jc w:val="center"/>
            </w:pPr>
            <w:r>
              <w:t>4</w:t>
            </w:r>
            <w:r w:rsidR="004F2E66">
              <w:t>UT</w:t>
            </w:r>
          </w:p>
        </w:tc>
        <w:tc>
          <w:tcPr>
            <w:tcW w:w="1548" w:type="dxa"/>
            <w:vAlign w:val="center"/>
          </w:tcPr>
          <w:p w14:paraId="02D42C70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0.9958</w:t>
            </w:r>
          </w:p>
        </w:tc>
        <w:tc>
          <w:tcPr>
            <w:tcW w:w="1368" w:type="dxa"/>
            <w:vAlign w:val="center"/>
          </w:tcPr>
          <w:p w14:paraId="20B987E7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1.7356</w:t>
            </w:r>
          </w:p>
        </w:tc>
        <w:tc>
          <w:tcPr>
            <w:tcW w:w="1368" w:type="dxa"/>
            <w:vAlign w:val="center"/>
          </w:tcPr>
          <w:p w14:paraId="089F59C7" w14:textId="77777777" w:rsidR="008F5200" w:rsidRDefault="004F2E66" w:rsidP="008F52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0.7490</w:t>
            </w:r>
          </w:p>
        </w:tc>
        <w:tc>
          <w:tcPr>
            <w:tcW w:w="1368" w:type="dxa"/>
            <w:vMerge/>
          </w:tcPr>
          <w:p w14:paraId="6443DBE4" w14:textId="77777777" w:rsidR="008F5200" w:rsidRDefault="008F5200"/>
        </w:tc>
        <w:tc>
          <w:tcPr>
            <w:tcW w:w="1368" w:type="dxa"/>
            <w:vMerge/>
          </w:tcPr>
          <w:p w14:paraId="1A57A74D" w14:textId="77777777" w:rsidR="008F5200" w:rsidRDefault="008F5200"/>
        </w:tc>
        <w:tc>
          <w:tcPr>
            <w:tcW w:w="1368" w:type="dxa"/>
            <w:vMerge/>
          </w:tcPr>
          <w:p w14:paraId="2FB9F6E9" w14:textId="77777777" w:rsidR="008F5200" w:rsidRDefault="008F5200"/>
        </w:tc>
      </w:tr>
    </w:tbl>
    <w:p w14:paraId="5F4BCB10" w14:textId="77777777" w:rsidR="008F5200" w:rsidRDefault="008F5200"/>
    <w:p w14:paraId="79BA14FA" w14:textId="77777777" w:rsidR="008F5200" w:rsidRDefault="008F5200" w:rsidP="008F5200">
      <w:r>
        <w:t>Treated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548"/>
        <w:gridCol w:w="1368"/>
        <w:gridCol w:w="1368"/>
        <w:gridCol w:w="1368"/>
        <w:gridCol w:w="1368"/>
        <w:gridCol w:w="1368"/>
      </w:tblGrid>
      <w:tr w:rsidR="008F5200" w14:paraId="5079961C" w14:textId="77777777" w:rsidTr="008F5200">
        <w:tc>
          <w:tcPr>
            <w:tcW w:w="1188" w:type="dxa"/>
            <w:vAlign w:val="center"/>
          </w:tcPr>
          <w:p w14:paraId="72C3B7CC" w14:textId="77777777" w:rsidR="008F5200" w:rsidRDefault="008F5200" w:rsidP="008F5200">
            <w:pPr>
              <w:jc w:val="center"/>
            </w:pPr>
            <w:r>
              <w:t>Crucible #</w:t>
            </w:r>
          </w:p>
        </w:tc>
        <w:tc>
          <w:tcPr>
            <w:tcW w:w="1548" w:type="dxa"/>
            <w:vAlign w:val="center"/>
          </w:tcPr>
          <w:p w14:paraId="596F0C69" w14:textId="77777777" w:rsidR="008F5200" w:rsidRDefault="008F5200" w:rsidP="008F5200">
            <w:pPr>
              <w:jc w:val="center"/>
            </w:pPr>
            <w:r>
              <w:t>Initial Dry Mass, g</w:t>
            </w:r>
          </w:p>
        </w:tc>
        <w:tc>
          <w:tcPr>
            <w:tcW w:w="1368" w:type="dxa"/>
            <w:vAlign w:val="center"/>
          </w:tcPr>
          <w:p w14:paraId="143C095D" w14:textId="77777777" w:rsidR="008F5200" w:rsidRDefault="008F5200" w:rsidP="008F5200">
            <w:pPr>
              <w:jc w:val="center"/>
            </w:pPr>
            <w:r>
              <w:t>Dry Mass With Salt, g</w:t>
            </w:r>
          </w:p>
        </w:tc>
        <w:tc>
          <w:tcPr>
            <w:tcW w:w="1368" w:type="dxa"/>
            <w:vAlign w:val="center"/>
          </w:tcPr>
          <w:p w14:paraId="5E3FF9DE" w14:textId="77777777" w:rsidR="008F5200" w:rsidRDefault="008F5200" w:rsidP="008F5200">
            <w:pPr>
              <w:jc w:val="center"/>
            </w:pPr>
            <w:r>
              <w:t>Mass of Salt, g</w:t>
            </w:r>
          </w:p>
        </w:tc>
        <w:tc>
          <w:tcPr>
            <w:tcW w:w="1368" w:type="dxa"/>
            <w:vAlign w:val="center"/>
          </w:tcPr>
          <w:p w14:paraId="5761A59E" w14:textId="77777777" w:rsidR="008F5200" w:rsidRDefault="008F5200" w:rsidP="008F5200">
            <w:pPr>
              <w:jc w:val="center"/>
            </w:pPr>
            <w:r>
              <w:t>Average Mass of Salt, g</w:t>
            </w:r>
          </w:p>
        </w:tc>
        <w:tc>
          <w:tcPr>
            <w:tcW w:w="1368" w:type="dxa"/>
            <w:vAlign w:val="center"/>
          </w:tcPr>
          <w:p w14:paraId="581B94C9" w14:textId="77777777" w:rsidR="008F5200" w:rsidRDefault="008F5200" w:rsidP="008F5200">
            <w:pPr>
              <w:jc w:val="center"/>
            </w:pPr>
            <w:r>
              <w:t>Standard Deviation, g</w:t>
            </w:r>
          </w:p>
        </w:tc>
        <w:tc>
          <w:tcPr>
            <w:tcW w:w="1368" w:type="dxa"/>
            <w:vAlign w:val="center"/>
          </w:tcPr>
          <w:p w14:paraId="3527BC8F" w14:textId="77777777" w:rsidR="008F5200" w:rsidRDefault="008F5200" w:rsidP="008F5200">
            <w:pPr>
              <w:jc w:val="center"/>
            </w:pPr>
            <w:r>
              <w:t>95% Confidence Interval, g</w:t>
            </w:r>
          </w:p>
        </w:tc>
      </w:tr>
      <w:tr w:rsidR="004F2E66" w14:paraId="69ACFA45" w14:textId="77777777" w:rsidTr="004F2E66">
        <w:tc>
          <w:tcPr>
            <w:tcW w:w="1188" w:type="dxa"/>
            <w:vAlign w:val="center"/>
          </w:tcPr>
          <w:p w14:paraId="63809A0B" w14:textId="77777777" w:rsidR="004F2E66" w:rsidRDefault="004F2E66" w:rsidP="008F5200">
            <w:pPr>
              <w:jc w:val="center"/>
            </w:pPr>
            <w:r>
              <w:t>1T</w:t>
            </w:r>
          </w:p>
        </w:tc>
        <w:tc>
          <w:tcPr>
            <w:tcW w:w="1548" w:type="dxa"/>
            <w:vAlign w:val="center"/>
          </w:tcPr>
          <w:p w14:paraId="57A28B16" w14:textId="77777777" w:rsidR="004F2E66" w:rsidRDefault="004F2E66" w:rsidP="004F2E6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0.9987</w:t>
            </w:r>
          </w:p>
        </w:tc>
        <w:tc>
          <w:tcPr>
            <w:tcW w:w="1368" w:type="dxa"/>
            <w:vAlign w:val="bottom"/>
          </w:tcPr>
          <w:p w14:paraId="11BEA4D6" w14:textId="77777777" w:rsidR="004F2E66" w:rsidRDefault="004F2E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1.3888</w:t>
            </w:r>
          </w:p>
        </w:tc>
        <w:tc>
          <w:tcPr>
            <w:tcW w:w="1368" w:type="dxa"/>
            <w:vAlign w:val="bottom"/>
          </w:tcPr>
          <w:p w14:paraId="59C6510D" w14:textId="77777777" w:rsidR="004F2E66" w:rsidRDefault="007B7DC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0.3891</w:t>
            </w:r>
          </w:p>
        </w:tc>
        <w:tc>
          <w:tcPr>
            <w:tcW w:w="1368" w:type="dxa"/>
            <w:vMerge w:val="restart"/>
            <w:vAlign w:val="center"/>
          </w:tcPr>
          <w:p w14:paraId="2820391D" w14:textId="77777777" w:rsidR="004F2E66" w:rsidRDefault="007B7DCA" w:rsidP="008F5200">
            <w:pPr>
              <w:jc w:val="center"/>
            </w:pPr>
            <w:r>
              <w:t>0.3863</w:t>
            </w:r>
          </w:p>
        </w:tc>
        <w:tc>
          <w:tcPr>
            <w:tcW w:w="1368" w:type="dxa"/>
            <w:vMerge w:val="restart"/>
            <w:vAlign w:val="center"/>
          </w:tcPr>
          <w:p w14:paraId="773BDBC2" w14:textId="77777777" w:rsidR="004F2E66" w:rsidRDefault="007B7DCA" w:rsidP="008F5200">
            <w:pPr>
              <w:jc w:val="center"/>
            </w:pPr>
            <w:r>
              <w:t>0.004</w:t>
            </w:r>
          </w:p>
        </w:tc>
        <w:tc>
          <w:tcPr>
            <w:tcW w:w="1368" w:type="dxa"/>
            <w:vMerge w:val="restart"/>
            <w:vAlign w:val="center"/>
          </w:tcPr>
          <w:p w14:paraId="4E6A9398" w14:textId="77777777" w:rsidR="004F2E66" w:rsidRDefault="007B7DCA" w:rsidP="007B7DCA">
            <w:pPr>
              <w:jc w:val="center"/>
            </w:pPr>
            <w:r>
              <w:t>0.39 ± 0.004</w:t>
            </w:r>
          </w:p>
        </w:tc>
      </w:tr>
      <w:tr w:rsidR="004F2E66" w14:paraId="7E1B530E" w14:textId="77777777" w:rsidTr="004F2E66">
        <w:tc>
          <w:tcPr>
            <w:tcW w:w="1188" w:type="dxa"/>
            <w:vAlign w:val="center"/>
          </w:tcPr>
          <w:p w14:paraId="2C0A10EB" w14:textId="77777777" w:rsidR="004F2E66" w:rsidRDefault="004F2E66" w:rsidP="008F5200">
            <w:pPr>
              <w:jc w:val="center"/>
            </w:pPr>
            <w:r>
              <w:t>2T</w:t>
            </w:r>
          </w:p>
        </w:tc>
        <w:tc>
          <w:tcPr>
            <w:tcW w:w="1548" w:type="dxa"/>
            <w:vAlign w:val="center"/>
          </w:tcPr>
          <w:p w14:paraId="1937D7C6" w14:textId="77777777" w:rsidR="004F2E66" w:rsidRDefault="004F2E66" w:rsidP="004F2E6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0.9982</w:t>
            </w:r>
          </w:p>
        </w:tc>
        <w:tc>
          <w:tcPr>
            <w:tcW w:w="1368" w:type="dxa"/>
            <w:vAlign w:val="bottom"/>
          </w:tcPr>
          <w:p w14:paraId="0E5D7696" w14:textId="77777777" w:rsidR="004F2E66" w:rsidRDefault="004F2E66" w:rsidP="004F2E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1.3777</w:t>
            </w:r>
          </w:p>
        </w:tc>
        <w:tc>
          <w:tcPr>
            <w:tcW w:w="1368" w:type="dxa"/>
            <w:vAlign w:val="bottom"/>
          </w:tcPr>
          <w:p w14:paraId="329B200D" w14:textId="77777777" w:rsidR="004F2E66" w:rsidRDefault="007B7DC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0.3808</w:t>
            </w:r>
          </w:p>
        </w:tc>
        <w:tc>
          <w:tcPr>
            <w:tcW w:w="1368" w:type="dxa"/>
            <w:vMerge/>
          </w:tcPr>
          <w:p w14:paraId="0429581C" w14:textId="77777777" w:rsidR="004F2E66" w:rsidRDefault="004F2E66" w:rsidP="008F5200"/>
        </w:tc>
        <w:tc>
          <w:tcPr>
            <w:tcW w:w="1368" w:type="dxa"/>
            <w:vMerge/>
          </w:tcPr>
          <w:p w14:paraId="4125E54A" w14:textId="77777777" w:rsidR="004F2E66" w:rsidRDefault="004F2E66" w:rsidP="008F5200"/>
        </w:tc>
        <w:tc>
          <w:tcPr>
            <w:tcW w:w="1368" w:type="dxa"/>
            <w:vMerge/>
          </w:tcPr>
          <w:p w14:paraId="65DA2DC9" w14:textId="77777777" w:rsidR="004F2E66" w:rsidRDefault="004F2E66" w:rsidP="008F5200"/>
        </w:tc>
      </w:tr>
      <w:tr w:rsidR="004F2E66" w14:paraId="2824FFC4" w14:textId="77777777" w:rsidTr="004F2E66">
        <w:tc>
          <w:tcPr>
            <w:tcW w:w="1188" w:type="dxa"/>
            <w:vAlign w:val="center"/>
          </w:tcPr>
          <w:p w14:paraId="794E3485" w14:textId="77777777" w:rsidR="004F2E66" w:rsidRDefault="004F2E66" w:rsidP="008F5200">
            <w:pPr>
              <w:jc w:val="center"/>
            </w:pPr>
            <w:r>
              <w:t>3T</w:t>
            </w:r>
          </w:p>
        </w:tc>
        <w:tc>
          <w:tcPr>
            <w:tcW w:w="1548" w:type="dxa"/>
            <w:vAlign w:val="center"/>
          </w:tcPr>
          <w:p w14:paraId="4841DD02" w14:textId="77777777" w:rsidR="004F2E66" w:rsidRDefault="004F2E66" w:rsidP="004F2E6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0.9978</w:t>
            </w:r>
          </w:p>
        </w:tc>
        <w:tc>
          <w:tcPr>
            <w:tcW w:w="1368" w:type="dxa"/>
            <w:vAlign w:val="bottom"/>
          </w:tcPr>
          <w:p w14:paraId="21C877F6" w14:textId="77777777" w:rsidR="004F2E66" w:rsidRDefault="004F2E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1.3962</w:t>
            </w:r>
          </w:p>
        </w:tc>
        <w:tc>
          <w:tcPr>
            <w:tcW w:w="1368" w:type="dxa"/>
            <w:vAlign w:val="bottom"/>
          </w:tcPr>
          <w:p w14:paraId="22AED0DE" w14:textId="77777777" w:rsidR="004F2E66" w:rsidRDefault="007B7DC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0.3891</w:t>
            </w:r>
          </w:p>
        </w:tc>
        <w:tc>
          <w:tcPr>
            <w:tcW w:w="1368" w:type="dxa"/>
            <w:vMerge/>
          </w:tcPr>
          <w:p w14:paraId="278F867A" w14:textId="77777777" w:rsidR="004F2E66" w:rsidRDefault="004F2E66" w:rsidP="008F5200"/>
        </w:tc>
        <w:tc>
          <w:tcPr>
            <w:tcW w:w="1368" w:type="dxa"/>
            <w:vMerge/>
          </w:tcPr>
          <w:p w14:paraId="4826C824" w14:textId="77777777" w:rsidR="004F2E66" w:rsidRDefault="004F2E66" w:rsidP="008F5200"/>
        </w:tc>
        <w:tc>
          <w:tcPr>
            <w:tcW w:w="1368" w:type="dxa"/>
            <w:vMerge/>
          </w:tcPr>
          <w:p w14:paraId="12D8F468" w14:textId="77777777" w:rsidR="004F2E66" w:rsidRDefault="004F2E66" w:rsidP="008F5200"/>
        </w:tc>
      </w:tr>
      <w:tr w:rsidR="004F2E66" w14:paraId="510762FF" w14:textId="77777777" w:rsidTr="004F2E66">
        <w:tc>
          <w:tcPr>
            <w:tcW w:w="1188" w:type="dxa"/>
            <w:vAlign w:val="center"/>
          </w:tcPr>
          <w:p w14:paraId="2E74CEB5" w14:textId="77777777" w:rsidR="004F2E66" w:rsidRDefault="004F2E66" w:rsidP="008F5200">
            <w:pPr>
              <w:jc w:val="center"/>
            </w:pPr>
            <w:r>
              <w:t>4T</w:t>
            </w:r>
          </w:p>
        </w:tc>
        <w:tc>
          <w:tcPr>
            <w:tcW w:w="1548" w:type="dxa"/>
            <w:vAlign w:val="center"/>
          </w:tcPr>
          <w:p w14:paraId="522ABAB0" w14:textId="77777777" w:rsidR="004F2E66" w:rsidRDefault="004F2E66" w:rsidP="004F2E6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0.9958</w:t>
            </w:r>
          </w:p>
        </w:tc>
        <w:tc>
          <w:tcPr>
            <w:tcW w:w="1368" w:type="dxa"/>
            <w:vAlign w:val="bottom"/>
          </w:tcPr>
          <w:p w14:paraId="4C48CFF9" w14:textId="77777777" w:rsidR="004F2E66" w:rsidRDefault="004F2E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7B7DCA">
              <w:rPr>
                <w:rFonts w:ascii="Calibri" w:hAnsi="Calibri"/>
                <w:color w:val="000000"/>
              </w:rPr>
              <w:t>38</w:t>
            </w:r>
            <w:r>
              <w:rPr>
                <w:rFonts w:ascii="Calibri" w:hAnsi="Calibri"/>
                <w:color w:val="000000"/>
              </w:rPr>
              <w:t>2</w:t>
            </w:r>
            <w:r w:rsidR="007B7DCA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14:paraId="205F5BBA" w14:textId="77777777" w:rsidR="004F2E66" w:rsidRDefault="007B7DC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0.3860</w:t>
            </w:r>
          </w:p>
        </w:tc>
        <w:tc>
          <w:tcPr>
            <w:tcW w:w="1368" w:type="dxa"/>
            <w:vMerge/>
          </w:tcPr>
          <w:p w14:paraId="054EA100" w14:textId="77777777" w:rsidR="004F2E66" w:rsidRDefault="004F2E66" w:rsidP="008F5200"/>
        </w:tc>
        <w:tc>
          <w:tcPr>
            <w:tcW w:w="1368" w:type="dxa"/>
            <w:vMerge/>
          </w:tcPr>
          <w:p w14:paraId="348339D8" w14:textId="77777777" w:rsidR="004F2E66" w:rsidRDefault="004F2E66" w:rsidP="008F5200"/>
        </w:tc>
        <w:tc>
          <w:tcPr>
            <w:tcW w:w="1368" w:type="dxa"/>
            <w:vMerge/>
          </w:tcPr>
          <w:p w14:paraId="294ED9D4" w14:textId="77777777" w:rsidR="004F2E66" w:rsidRDefault="004F2E66" w:rsidP="008F5200"/>
        </w:tc>
      </w:tr>
    </w:tbl>
    <w:p w14:paraId="236DA755" w14:textId="77777777" w:rsidR="008F5200" w:rsidRDefault="008F5200"/>
    <w:p w14:paraId="40B9216D" w14:textId="77777777" w:rsidR="008F5200" w:rsidRPr="008F5200" w:rsidRDefault="008F5200" w:rsidP="008F5200">
      <w:pPr>
        <w:ind w:right="-180"/>
        <w:rPr>
          <w:b/>
        </w:rPr>
      </w:pPr>
      <w:r w:rsidRPr="008F5200">
        <w:rPr>
          <w:b/>
        </w:rPr>
        <w:t>REFERENCES</w:t>
      </w:r>
    </w:p>
    <w:p w14:paraId="19441942" w14:textId="77777777" w:rsidR="008F5200" w:rsidRDefault="008F5200" w:rsidP="008F5200">
      <w:pPr>
        <w:ind w:right="-180"/>
      </w:pPr>
      <w:r>
        <w:t xml:space="preserve">Last Name, First Name. (Year)  </w:t>
      </w:r>
      <w:proofErr w:type="gramStart"/>
      <w:r>
        <w:t>Title of journal article or equivalent document.</w:t>
      </w:r>
      <w:proofErr w:type="gramEnd"/>
      <w:r>
        <w:t xml:space="preserve">  J. </w:t>
      </w:r>
      <w:proofErr w:type="spellStart"/>
      <w:r>
        <w:t>Haz</w:t>
      </w:r>
      <w:proofErr w:type="spellEnd"/>
      <w:r>
        <w:t xml:space="preserve"> Waste and Soc.  </w:t>
      </w:r>
      <w:proofErr w:type="gramStart"/>
      <w:r>
        <w:t>Volume(</w:t>
      </w:r>
      <w:proofErr w:type="gramEnd"/>
      <w:r w:rsidRPr="008F5200">
        <w:rPr>
          <w:b/>
        </w:rPr>
        <w:t>Issue Number</w:t>
      </w:r>
      <w:r>
        <w:t xml:space="preserve">): </w:t>
      </w:r>
      <w:proofErr w:type="spellStart"/>
      <w:r>
        <w:t>startpage</w:t>
      </w:r>
      <w:proofErr w:type="spellEnd"/>
      <w:r>
        <w:t xml:space="preserve"> – end page.</w:t>
      </w:r>
    </w:p>
    <w:p w14:paraId="6489B777" w14:textId="77777777" w:rsidR="00FF52AD" w:rsidRDefault="00FF52AD" w:rsidP="008F5200">
      <w:pPr>
        <w:ind w:right="-180"/>
      </w:pPr>
      <w:proofErr w:type="spellStart"/>
      <w:r>
        <w:t>Kargbo</w:t>
      </w:r>
      <w:proofErr w:type="spellEnd"/>
      <w:r>
        <w:t xml:space="preserve">, D. M., Wilhelm, R. G., Campbell, D. J. (2010) Natural gas plays in the Marcellus shale: challenges and potential opportunities. </w:t>
      </w:r>
      <w:r w:rsidRPr="00FF52AD">
        <w:rPr>
          <w:i/>
        </w:rPr>
        <w:t>Environ. Sci. Technol</w:t>
      </w:r>
      <w:r>
        <w:t xml:space="preserve">. </w:t>
      </w:r>
      <w:r w:rsidRPr="00FF52AD">
        <w:rPr>
          <w:b/>
        </w:rPr>
        <w:t>44</w:t>
      </w:r>
      <w:r>
        <w:t>(2): 5679-5684.</w:t>
      </w:r>
    </w:p>
    <w:p w14:paraId="12503CCE" w14:textId="416B25BB" w:rsidR="00FF52AD" w:rsidRDefault="008F66E6" w:rsidP="008F5200">
      <w:pPr>
        <w:ind w:right="-180"/>
      </w:pPr>
      <w:proofErr w:type="gramStart"/>
      <w:r>
        <w:lastRenderedPageBreak/>
        <w:t xml:space="preserve">Sills, D. L. </w:t>
      </w:r>
      <w:proofErr w:type="gramEnd"/>
      <w:r>
        <w:t>(2013</w:t>
      </w:r>
      <w:r w:rsidR="00FF52AD">
        <w:t xml:space="preserve">) </w:t>
      </w:r>
      <w:r>
        <w:t xml:space="preserve"> </w:t>
      </w:r>
      <w:bookmarkStart w:id="0" w:name="_GoBack"/>
      <w:bookmarkEnd w:id="0"/>
      <w:r w:rsidR="00FF52AD">
        <w:t>Week 1 Laboratory Handout. – Safety, Orientation, and Data Analysis. Bucknell University. C</w:t>
      </w:r>
      <w:r>
        <w:t>ENG 340 Course Notes, Fall, 2013</w:t>
      </w:r>
      <w:r w:rsidR="00FF52AD">
        <w:t>.</w:t>
      </w:r>
    </w:p>
    <w:p w14:paraId="2B3965E2" w14:textId="77777777" w:rsidR="00B52557" w:rsidRDefault="00E47FE4" w:rsidP="008F5200">
      <w:pPr>
        <w:ind w:right="-180"/>
      </w:pPr>
      <w:proofErr w:type="spellStart"/>
      <w:r>
        <w:t>Urbi</w:t>
      </w:r>
      <w:r w:rsidR="00B52557">
        <w:t>na</w:t>
      </w:r>
      <w:proofErr w:type="spellEnd"/>
      <w:r w:rsidR="00B52557">
        <w:t xml:space="preserve">, I. (2011, March 7) EPA Steps Up Scrutiny of Pollution in Pennsylvania Rivers, The New York Times.  Retrieved from </w:t>
      </w:r>
      <w:r w:rsidR="00B52557" w:rsidRPr="00B52557">
        <w:t>http://www.nytimes.com/2011/03/08/science/earth/08water.html?ref=earth</w:t>
      </w:r>
      <w:r w:rsidR="00B52557">
        <w:t>.</w:t>
      </w:r>
    </w:p>
    <w:sectPr w:rsidR="00B52557" w:rsidSect="0014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D8"/>
    <w:rsid w:val="00034ED8"/>
    <w:rsid w:val="001268BA"/>
    <w:rsid w:val="001477B4"/>
    <w:rsid w:val="00173F54"/>
    <w:rsid w:val="001F164A"/>
    <w:rsid w:val="002571E1"/>
    <w:rsid w:val="002D75E5"/>
    <w:rsid w:val="003D1ED1"/>
    <w:rsid w:val="004537E5"/>
    <w:rsid w:val="004F2E66"/>
    <w:rsid w:val="005123DA"/>
    <w:rsid w:val="00584D65"/>
    <w:rsid w:val="005C5D2A"/>
    <w:rsid w:val="00675EE8"/>
    <w:rsid w:val="007A1907"/>
    <w:rsid w:val="007B7DCA"/>
    <w:rsid w:val="007D5E4A"/>
    <w:rsid w:val="0085542C"/>
    <w:rsid w:val="008F5200"/>
    <w:rsid w:val="008F66E6"/>
    <w:rsid w:val="00B52557"/>
    <w:rsid w:val="00B94463"/>
    <w:rsid w:val="00BB486C"/>
    <w:rsid w:val="00DC62DF"/>
    <w:rsid w:val="00E47FE4"/>
    <w:rsid w:val="00F57770"/>
    <w:rsid w:val="00F86BA4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917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834</Words>
  <Characters>4755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University</Company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R. Gilmore</dc:creator>
  <cp:keywords/>
  <dc:description/>
  <cp:lastModifiedBy>Deborah  Sills</cp:lastModifiedBy>
  <cp:revision>4</cp:revision>
  <cp:lastPrinted>2013-09-03T11:07:00Z</cp:lastPrinted>
  <dcterms:created xsi:type="dcterms:W3CDTF">2013-09-02T22:59:00Z</dcterms:created>
  <dcterms:modified xsi:type="dcterms:W3CDTF">2013-09-03T11:07:00Z</dcterms:modified>
</cp:coreProperties>
</file>