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58"/>
      </w:pPr>
      <w:r>
        <w:rPr>
          <w:rFonts w:ascii="Arial" w:cs="Arial" w:eastAsia="Arial" w:hAnsi="Arial"/>
          <w:b/>
          <w:bCs/>
          <w:color w:val="1A1633"/>
          <w:sz w:val="40"/>
          <w:szCs w:val="40"/>
        </w:rPr>
        <w:t xml:space="preserve">Diana Simpson-Hernandez</w:t>
      </w:r>
    </w:p>
    <w:p>
      <w:pPr>
        <w:spacing w:after="60" w:before="0" w:line="258"/>
      </w:pPr>
      <w:r>
        <w:rPr>
          <w:rFonts w:ascii="Arial" w:cs="Arial" w:eastAsia="Arial" w:hAnsi="Arial"/>
          <w:color w:val="5B4BC4"/>
          <w:sz w:val="21"/>
          <w:szCs w:val="21"/>
        </w:rPr>
        <w:t xml:space="preserve">Chief AI Officer (contract)  ·  AI product strategy  ·  Behavioural decision intelligence &amp; AI governance</w:t>
      </w:r>
    </w:p>
    <w:p>
      <w:pPr>
        <w:spacing w:after="80" w:before="0" w:line="258"/>
      </w:pPr>
      <w:r>
        <w:rPr>
          <w:rFonts w:ascii="Arial" w:cs="Arial" w:eastAsia="Arial" w:hAnsi="Arial"/>
          <w:color w:val="5A5670"/>
          <w:sz w:val="17"/>
          <w:szCs w:val="17"/>
        </w:rPr>
        <w:t xml:space="preserve">London · remote  |  dianasimpsonhernandez@gmail.com  |  +44 (0)7973 933 859  |  linkedin.com/in/dianasimpson  |  dianasimpsonhernandez.com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Open to: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contract or fractional Chief AI Officer, Head of AI / AI strategy roles, and AI product-strategy engagements  ·  2–4 days a week or interim  ·  from October 2026  ·  London, hybrid or remote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Right to work: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UK, no sponsorship needed  ·  delivery in English or Spanish  ·  FRSA · AFHEA · Certified Scrum Master</w:t>
      </w:r>
    </w:p>
    <w:p>
      <w:pPr>
        <w:keepNext/>
        <w:pBdr>
          <w:bottom w:val="single" w:color="E3E0F0" w:sz="6" w:space="2"/>
        </w:pBdr>
        <w:spacing w:after="50" w:before="190" w:line="258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PROFILE</w:t>
      </w:r>
    </w:p>
    <w:p>
      <w:pPr>
        <w:spacing w:after="40" w:before="0" w:line="258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Founder and chief architect of a patent-pending behavioural decision-intelligence company, and a product strategist with fifteen years turning emerging technology into decisions a business will act on and can defend. In two years I have taken Aletheai from a question — how do you make a machine decision someone will trust? — to a shipped engine, two patent applications, a feasibility study with the STFC Hartree Centre, and a route to market; and I have written the methods I used along the way so a client can check them before hiring me. The through-line is governance as product: a system that only acts where the evidence supports it, says so when it doesn't, and leaves a record a regulator could read. I now want to put that into other companies' AI programmes as a Chief AI Officer or strategy lead — deciding what to build, buy or leave alone, and making what ships defensible.</w:t>
      </w:r>
    </w:p>
    <w:p>
      <w:pPr>
        <w:keepNext/>
        <w:pBdr>
          <w:bottom w:val="single" w:color="E3E0F0" w:sz="6" w:space="2"/>
        </w:pBdr>
        <w:spacing w:after="50" w:before="190" w:line="258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ORIGINAL WORK AND INTELLECTUAL PROPERTY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Patent application 1 · behavioural decision intelligence (Aletheai)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International (PCT) application, priority September 2025; filed August 2026. A decision engine that reads behavioural signals from the systems a business already runs, ranks who or what deserves attention by the evidence rather than a score over everything, attaches a plain-English reason and next action to every item, and refuses to rank where the evidence is insufficient — with the refusal and its reason recorded. The ranking behaviour rests on a fixed, versioned library of behavioural archetypes that changes only at signed releases, never silently in production.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Patent application 2 · governing agent automations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UK application filed September 2026. Action gating for AI agents: every act an agent takes passes through a gate the agent cannot reach, is registered before it happens, and must be justified by evidence the agent did not write; refusals are recorded; oversight does not depend on reading the agent's reasoning. The gate uses no model — deterministic, replayable, zero marginal inference cost. Governance of machine conduct, not machine thought.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Missingness and refusal (STFC Hartree Centre feasibility study, 2026)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Designed the data strategy for proving the engine on real human-behaviour datasets, including a method for decomposing why data is missing before trusting a model on it; the 'honest refusal' principle grew out of this work. A further filing is in preparation (2027) on what a system should do after it refuses.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Published methods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LEVER (decision diagnostics: goal ladder → decision blueprint → leverage equation, with a live calculator) · RECALL (making a company's documents answerable: question ledger → corpus condition index → answerability equation) · STAKE (product partnerships with a revenue ledger) · FLYWHEEL (eight-dimension venture diagnostic) · Vibecoding (non-engineers specifying and shipping with AI coding agents) — frameworks.dianasimpsonhernandez.com. Design Poiesis (working name): a method for designers working with AI — five moves between two rails, every insight carrying its trail from grounds to claim.</w:t>
      </w:r>
    </w:p>
    <w:p>
      <w:pPr>
        <w:keepNext/>
        <w:pBdr>
          <w:bottom w:val="single" w:color="E3E0F0" w:sz="6" w:space="2"/>
        </w:pBdr>
        <w:spacing w:after="50" w:before="190" w:line="258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EXPERIENCE</w:t>
      </w:r>
    </w:p>
    <w:p>
      <w:pPr>
        <w:keepNext/>
        <w:tabs>
          <w:tab w:val="right" w:pos="9640"/>
        </w:tabs>
        <w:spacing w:after="20" w:before="110" w:line="258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Aletheai (Monomindai Ltd)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  ·  London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	Dec 2024 – present</w:t>
      </w:r>
    </w:p>
    <w:p>
      <w:pPr>
        <w:keepNext/>
        <w:spacing w:after="30" w:before="0" w:line="258"/>
      </w:pPr>
      <w:r>
        <w:rPr>
          <w:rFonts w:ascii="Arial" w:cs="Arial" w:eastAsia="Arial" w:hAnsi="Arial"/>
          <w:i/>
          <w:iCs/>
          <w:color w:val="5A5670"/>
          <w:sz w:val="18"/>
          <w:szCs w:val="18"/>
        </w:rPr>
        <w:t xml:space="preserve">Founder &amp; CEO · product, architecture, IP and commercial direction</w:t>
      </w:r>
    </w:p>
    <w:p>
      <w:pPr>
        <w:keepNext/>
        <w:spacing w:after="40" w:before="0" w:line="258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Behavioural decision-intelligence company. Patent pending. First market: UK estate agencies — the product tells every negotiator which enquiries are worth their time today, why, and what to say, and says so when the evidence isn't there.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Set the product strategy and wrote the value proposition from discovery with UK and US agents; specified the engine and directed the build with AI coding agents under review gates — 12+ releases in 12 months with no engineering team.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Authored both patent applications (self-filed) and the disclosure regime around them; ran the STFC Hartree Centre feasibility study; secured RTC North backing and a Start Up Loan; launching through the Alto (Zoopla Group) marketplace; three-time AI Forge pitch finalist.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Owned pricing architecture, partnerships, funding applications, data-protection and security packs; designed and built a consumer research instrument (Wayfind) to study follow-through on declared goals, with privacy guarantees enforced in the schema.</w:t>
      </w:r>
    </w:p>
    <w:p>
      <w:pPr>
        <w:keepNext/>
        <w:tabs>
          <w:tab w:val="right" w:pos="9640"/>
        </w:tabs>
        <w:spacing w:after="20" w:before="110" w:line="258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DiSH Creative Ltd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  ·  London (clients UK and US)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	Apr 2024 – present</w:t>
      </w:r>
    </w:p>
    <w:p>
      <w:pPr>
        <w:keepNext/>
        <w:spacing w:after="30" w:before="0" w:line="258"/>
      </w:pPr>
      <w:r>
        <w:rPr>
          <w:rFonts w:ascii="Arial" w:cs="Arial" w:eastAsia="Arial" w:hAnsi="Arial"/>
          <w:i/>
          <w:iCs/>
          <w:color w:val="5A5670"/>
          <w:sz w:val="18"/>
          <w:szCs w:val="18"/>
        </w:rPr>
        <w:t xml:space="preserve">Founder · AI strategy, product discovery and applied-AI delivery on contract</w:t>
      </w:r>
    </w:p>
    <w:p>
      <w:pPr>
        <w:keepNext/>
        <w:spacing w:after="40" w:before="0" w:line="258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My own company for contract and consulting work, alongside Aletheai. Selected engagements: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Language Kids World, Houston (2026)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Mapped a 60-person language-education operation, then designed and sequenced AI automations so each relieved the next: curriculum development from weeks to hours (92% less time; 10–15 working weeks a year returned to the founder); found and closed a security gap unprompted; structured a royalty-and-service partnership on the tools built.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Commercial and non-profit clients (2024)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Applied-AI product strategy with up to 60% operational-efficiency gains and 25% uplift in engagement; automation frameworks combining rules, model assistance and human oversight (manual workflows down ~40%); board workshops for AI use-case prioritisation; impact-measurement strategies for NGOs.</w:t>
      </w:r>
    </w:p>
    <w:p>
      <w:pPr>
        <w:keepNext/>
        <w:tabs>
          <w:tab w:val="right" w:pos="9640"/>
        </w:tabs>
        <w:spacing w:after="20" w:before="110" w:line="258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IED Madrid · London College of Communication (UAL)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  ·  Madrid · London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	2025 – present</w:t>
      </w:r>
    </w:p>
    <w:p>
      <w:pPr>
        <w:keepNext/>
        <w:spacing w:after="40" w:before="0" w:line="258"/>
      </w:pPr>
      <w:r>
        <w:rPr>
          <w:rFonts w:ascii="Arial" w:cs="Arial" w:eastAsia="Arial" w:hAnsi="Arial"/>
          <w:i/>
          <w:iCs/>
          <w:color w:val="5A5670"/>
          <w:sz w:val="18"/>
          <w:szCs w:val="18"/>
        </w:rPr>
        <w:t xml:space="preserve">Lecturer, AI training &amp; innovation · mentor, venture coach and judge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Vibecoding workshops for MA students (non-engineers shipping working products with LLMs and coding agents in a term), the same format run as in-house company training; business and venture evaluation lectures and one-to-one mentoring at LCC; judge, LCC Accelerate 2026 (UAL · NatWest Accelerator).</w:t>
      </w:r>
    </w:p>
    <w:p>
      <w:pPr>
        <w:keepNext/>
        <w:tabs>
          <w:tab w:val="right" w:pos="9640"/>
        </w:tabs>
        <w:spacing w:after="20" w:before="110" w:line="258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Slimming World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  ·  Derbyshire, UK</w:t>
      </w:r>
      <w:r>
        <w:rPr>
          <w:rFonts w:ascii="Arial" w:cs="Arial" w:eastAsia="Arial" w:hAnsi="Arial"/>
          <w:color w:val="5A5670"/>
          <w:sz w:val="18"/>
          <w:szCs w:val="18"/>
        </w:rPr>
        <w:t xml:space="preserve">	2019 – 2024</w:t>
      </w:r>
    </w:p>
    <w:p>
      <w:pPr>
        <w:keepNext/>
        <w:spacing w:after="40" w:before="0" w:line="258"/>
      </w:pPr>
      <w:r>
        <w:rPr>
          <w:rFonts w:ascii="Arial" w:cs="Arial" w:eastAsia="Arial" w:hAnsi="Arial"/>
          <w:i/>
          <w:iCs/>
          <w:color w:val="5A5670"/>
          <w:sz w:val="18"/>
          <w:szCs w:val="18"/>
        </w:rPr>
        <w:t xml:space="preserve">Principal UX Strategist · Design Department Manager</w:t>
      </w:r>
    </w:p>
    <w:p>
      <w:pPr>
        <w:pStyle w:val="ListParagraph"/>
        <w:numPr>
          <w:ilvl w:val="0"/>
          <w:numId w:val="2"/>
        </w:numPr>
        <w:spacing w:after="28" w:before="0" w:line="246"/>
      </w:pPr>
      <w:r>
        <w:rPr>
          <w:rFonts w:ascii="Arial" w:cs="Arial" w:eastAsia="Arial" w:hAnsi="Arial"/>
          <w:color w:val="1A1633"/>
          <w:sz w:val="18"/>
          <w:szCs w:val="18"/>
        </w:rPr>
        <w:t xml:space="preserve">One of the UK's largest health and behaviour-change platforms (250,000+ members). Managed a team of 12 designers; company-wide design system; authored the UX Strategy &amp; Discovery training programme (external training spend down 45%); led the digital North Star strategy; built and showed an early behavioural-intelligence proof of concept for the member journey.</w:t>
      </w:r>
    </w:p>
    <w:p>
      <w:pPr>
        <w:spacing w:after="40" w:before="9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Earlier —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Senior Lecturer in Product Design, Nottingham Trent University (2017–19). Co-founder &amp; Chief Product Officer, Shake Your Power CIC (2014–17): SPARK, the first energy-generating musical instrument — US patent granted, two London Design Award Golds, STEM pilots in the UK, US and India. Founder, Monogram Publishers (2014–): author of The Art of Getting Stuff Done (2022); host of the Stand Out podcast.</w:t>
      </w:r>
    </w:p>
    <w:p>
      <w:pPr>
        <w:keepNext/>
        <w:pBdr>
          <w:bottom w:val="single" w:color="E3E0F0" w:sz="6" w:space="2"/>
        </w:pBdr>
        <w:spacing w:after="50" w:before="190" w:line="258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WHAT I DO AS A CHIEF AI OFFICER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Strategy: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which decisions and workflows AI should improve and which to leave alone · build / buy / leave · decision-level ROI · pilot design · vendor and model selection · roadmap and operating model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Governance: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what a system may infer, say and do about people · evidence-ranked priority, honest refusal and the decision record · DPIA-ready evidence trails · model evaluation (calibration, lift, drift) · EU AI Act and UK-principles readiness · agent action gating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Delivery &amp; enablement: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specification-first builds with AI coding agents under review gates · corpus and data readiness (RECALL) · in-house training for product, design and leadership teams · board and ExCo workshops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Tools: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Claude, OpenAI and Mistral APIs · LLM and RAG product design · AI coding agents (Claude Code) · Python · Streamlit · synthetic data · Git/GitHub · Railway and Streamlit Cloud · Figma (expert)</w:t>
      </w:r>
    </w:p>
    <w:p>
      <w:pPr>
        <w:keepNext/>
        <w:pBdr>
          <w:bottom w:val="single" w:color="E3E0F0" w:sz="6" w:space="2"/>
        </w:pBdr>
        <w:spacing w:after="50" w:before="190" w:line="258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EDUCATION &amp; AFFILIATIONS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Education: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MA Design Products, Royal College of Art · BA Product Design, Central Saint Martins (UAL) · MIT xPRO, Designing &amp; Building AI Products and Services (2024) · IDEO U, Service Design · Oxford Saïd, FinTech · ILM Level 3 Leadership</w:t>
      </w:r>
    </w:p>
    <w:p>
      <w:pPr>
        <w:spacing w:after="36" w:before="0" w:line="246"/>
      </w:pPr>
      <w:r>
        <w:rPr>
          <w:rFonts w:ascii="Arial" w:cs="Arial" w:eastAsia="Arial" w:hAnsi="Arial"/>
          <w:b/>
          <w:bCs/>
          <w:color w:val="1A1633"/>
          <w:sz w:val="18"/>
          <w:szCs w:val="18"/>
        </w:rPr>
        <w:t xml:space="preserve">Affiliations:  </w:t>
      </w:r>
      <w:r>
        <w:rPr>
          <w:rFonts w:ascii="Arial" w:cs="Arial" w:eastAsia="Arial" w:hAnsi="Arial"/>
          <w:color w:val="1A1633"/>
          <w:sz w:val="18"/>
          <w:szCs w:val="18"/>
        </w:rPr>
        <w:t xml:space="preserve">FRSA · AFHEA · Education Ambassador, CREATE · invited talks at the European Commission, British Library, V&amp;A, RCA, CSM · English and Spanish (fluent), Italian (working)</w:t>
      </w:r>
    </w:p>
    <w:sectPr>
      <w:pgSz w:w="11906" w:h="16838" w:orient="portrait"/>
      <w:pgMar w:top="720" w:right="880" w:bottom="68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6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2026-10-05T09:48:14.308Z</dcterms:created>
  <dcterms:modified xsi:type="dcterms:W3CDTF">2026-10-05T09:48:14.308Z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