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52"/>
        <w:jc w:val="center"/>
      </w:pPr>
      <w:r>
        <w:rPr>
          <w:b/>
          <w:bCs/>
          <w:color w:val="1A1633"/>
          <w:sz w:val="44"/>
          <w:szCs w:val="44"/>
          <w:rFonts w:ascii="Arial" w:cs="Arial" w:eastAsia="Arial" w:hAnsi="Arial"/>
        </w:rPr>
        <w:t xml:space="preserve">Diana Simpson-Hernandez</w:t>
      </w:r>
    </w:p>
    <w:p>
      <w:pPr>
        <w:spacing w:after="10" w:before="0" w:line="252"/>
        <w:jc w:val="center"/>
      </w:pPr>
      <w:r>
        <w:rPr>
          <w:color w:val="4F4B66"/>
          <w:sz w:val="19"/>
          <w:szCs w:val="19"/>
          <w:rFonts w:ascii="Arial" w:cs="Arial" w:eastAsia="Arial" w:hAnsi="Arial"/>
        </w:rPr>
        <w:t xml:space="preserve">London, UK  |  +44 (0)7973 933 859  |  dianasimpsonhernandez@gmail.com</w:t>
      </w:r>
    </w:p>
    <w:p>
      <w:pPr>
        <w:pBdr>
          <w:bottom w:val="single" w:color="BFB8DC" w:sz="8" w:space="4"/>
        </w:pBdr>
        <w:spacing w:after="120" w:before="0" w:line="252"/>
        <w:jc w:val="center"/>
      </w:pPr>
      <w:r>
        <w:rPr>
          <w:color w:val="4F4B66"/>
          <w:sz w:val="19"/>
          <w:szCs w:val="19"/>
          <w:rFonts w:ascii="Arial" w:cs="Arial" w:eastAsia="Arial" w:hAnsi="Arial"/>
        </w:rPr>
        <w:t xml:space="preserve">linkedin.com/in/dianasimpson  |  dianasimpsonhernandez.com</w:t>
      </w:r>
    </w:p>
    <w:p>
      <w:pPr>
        <w:spacing w:after="30" w:before="60" w:line="252"/>
        <w:jc w:val="center"/>
      </w:pPr>
      <w:r>
        <w:rPr>
          <w:b/>
          <w:bCs/>
          <w:color w:val="5B4BC4"/>
          <w:sz w:val="32"/>
          <w:szCs w:val="32"/>
          <w:rFonts w:ascii="Arial" w:cs="Arial" w:eastAsia="Arial" w:hAnsi="Arial"/>
        </w:rPr>
        <w:t xml:space="preserve">AI Governance and Assurance Lead</w:t>
      </w:r>
    </w:p>
    <w:p>
      <w:pPr>
        <w:spacing w:after="110" w:before="0" w:line="252"/>
        <w:jc w:val="center"/>
      </w:pPr>
      <w:r>
        <w:rPr>
          <w:b/>
          <w:bCs/>
          <w:color w:val="1A1633"/>
          <w:sz w:val="22"/>
          <w:szCs w:val="22"/>
          <w:rFonts w:ascii="Arial" w:cs="Arial" w:eastAsia="Arial" w:hAnsi="Arial"/>
        </w:rPr>
        <w:t xml:space="preserve">Agent Governance  •  Responsible AI Product  •  Decision Records  •  Behavioural Insight</w:t>
      </w:r>
    </w:p>
    <w:p>
      <w:pPr>
        <w:spacing w:after="60" w:before="0" w:line="254"/>
      </w:pPr>
      <w:r>
        <w:rPr>
          <w:color w:val="1A1633"/>
          <w:sz w:val="21"/>
          <w:szCs w:val="21"/>
          <w:rFonts w:ascii="Arial" w:cs="Arial" w:eastAsia="Arial" w:hAnsi="Arial"/>
        </w:rPr>
        <w:t xml:space="preserve">Founder and product strategist with fifteen years turning emerging technology into products people act on, and two years building Aletheai, a behavioural decision-intelligence company, from a first question to a working engine and six patent applications.</w:t>
      </w:r>
    </w:p>
    <w:p>
      <w:pPr>
        <w:spacing w:after="60" w:before="0" w:line="254"/>
      </w:pPr>
      <w:r>
        <w:rPr>
          <w:color w:val="1A1633"/>
          <w:sz w:val="21"/>
          <w:szCs w:val="21"/>
          <w:rFonts w:ascii="Arial" w:cs="Arial" w:eastAsia="Arial" w:hAnsi="Arial"/>
        </w:rPr>
        <w:t xml:space="preserve">Specialises in the control side of AI: what a system may infer and do about people, the evidence each action must rest on, and the record that lets someone outside the company check it. Known for translating governance principles into working product, and for stating plainly what the evidence does and doesn't support.</w:t>
      </w:r>
    </w:p>
    <w:p>
      <w:pPr>
        <w:spacing w:after="70" w:before="0" w:line="254"/>
      </w:pPr>
      <w:r>
        <w:rPr>
          <w:color w:val="1A1633"/>
          <w:sz w:val="21"/>
          <w:szCs w:val="21"/>
          <w:rFonts w:ascii="Arial" w:cs="Arial" w:eastAsia="Arial" w:hAnsi="Arial"/>
        </w:rPr>
        <w:t xml:space="preserve">A designer by training (Royal College of Art, Central Saint Martins) who teaches AI-native product building at IED Madrid. Seeking fellowship, residency and founding roles in AI governance and assurance; London-based and remote-first; UK citizen, available from 1 December 2026.</w:t>
      </w:r>
    </w:p>
    <w:p>
      <w:pPr>
        <w:spacing w:after="30" w:before="0" w:line="254"/>
      </w:pPr>
      <w:r>
        <w:rPr>
          <w:b/>
          <w:bCs/>
          <w:color w:val="5B4BC4"/>
          <w:sz w:val="21"/>
          <w:szCs w:val="21"/>
          <w:rFonts w:ascii="Arial" w:cs="Arial" w:eastAsia="Arial" w:hAnsi="Arial"/>
        </w:rPr>
        <w:t xml:space="preserve">Areas of expertise:  </w:t>
      </w:r>
      <w:r>
        <w:rPr>
          <w:b/>
          <w:bCs/>
          <w:color w:val="4F4B66"/>
          <w:sz w:val="20"/>
          <w:szCs w:val="20"/>
          <w:rFonts w:ascii="Arial" w:cs="Arial" w:eastAsia="Arial" w:hAnsi="Arial"/>
        </w:rPr>
        <w:t xml:space="preserve">AI Governance and Assurance  |  Agent Action Gating  |  Responsible AI  |  Decision Records and Audit Trails  |  Model Evaluation  |  Data Protection and DPIA Evidence  |  EU AI Act and UK AI Principles  |  Discovery and User Research  |  Behaviour Change  |  Teaching and Enablement</w:t>
      </w:r>
    </w:p>
    <w:p>
      <w:pPr>
        <w:keepNext/>
        <w:pBdr>
          <w:top w:val="single" w:color="BFB8DC" w:sz="8" w:space="6"/>
        </w:pBdr>
        <w:spacing w:after="60" w:before="130" w:line="252"/>
        <w:jc w:val="center"/>
      </w:pPr>
      <w:r>
        <w:rPr>
          <w:b/>
          <w:bCs/>
          <w:color w:val="5B4BC4"/>
          <w:sz w:val="24"/>
          <w:szCs w:val="24"/>
          <w:rFonts w:ascii="Arial" w:cs="Arial" w:eastAsia="Arial" w:hAnsi="Arial"/>
        </w:rPr>
        <w:t xml:space="preserve">Notable achievements</w:t>
      </w:r>
    </w:p>
    <w:p>
      <w:pPr>
        <w:pStyle w:val="ListParagraph"/>
        <w:numPr>
          <w:ilvl w:val="0"/>
          <w:numId w:val="2"/>
        </w:numPr>
        <w:spacing w:after="34" w:before="0" w:line="248"/>
      </w:pPr>
      <w:r>
        <w:rPr>
          <w:color w:val="1A1633"/>
          <w:sz w:val="21"/>
          <w:szCs w:val="21"/>
          <w:rFonts w:ascii="Arial" w:cs="Arial" w:eastAsia="Arial" w:hAnsi="Arial"/>
        </w:rPr>
        <w:t xml:space="preserve">Drafted and self-filed six patent applications at Aletheai in 2025–26, including an international (PCT) application on evidence-ranked decision intelligence and a UK application on action gating for AI agents.</w:t>
      </w:r>
    </w:p>
    <w:p>
      <w:pPr>
        <w:pStyle w:val="ListParagraph"/>
        <w:numPr>
          <w:ilvl w:val="0"/>
          <w:numId w:val="2"/>
        </w:numPr>
        <w:spacing w:after="34" w:before="0" w:line="248"/>
      </w:pPr>
      <w:r>
        <w:rPr>
          <w:color w:val="1A1633"/>
          <w:sz w:val="21"/>
          <w:szCs w:val="21"/>
          <w:rFonts w:ascii="Arial" w:cs="Arial" w:eastAsia="Arial" w:hAnsi="Arial"/>
        </w:rPr>
        <w:t xml:space="preserve">Specified and built Aletheai's decision engine, which ranks only where the evidence supports it and records every refusal, shipping 12+ releases in 12 months by directing AI coding agents, with no engineering team.</w:t>
      </w:r>
    </w:p>
    <w:p>
      <w:pPr>
        <w:pStyle w:val="ListParagraph"/>
        <w:numPr>
          <w:ilvl w:val="0"/>
          <w:numId w:val="2"/>
        </w:numPr>
        <w:spacing w:after="34" w:before="0" w:line="248"/>
      </w:pPr>
      <w:r>
        <w:rPr>
          <w:color w:val="1A1633"/>
          <w:sz w:val="21"/>
          <w:szCs w:val="21"/>
          <w:rFonts w:ascii="Arial" w:cs="Arial" w:eastAsia="Arial" w:hAnsi="Arial"/>
        </w:rPr>
        <w:t xml:space="preserve">Designed the data strategy for a feasibility study with the STFC Hartree Centre on real human-behaviour data, including a method for establishing why data is missing before a model is trusted on it.</w:t>
      </w:r>
    </w:p>
    <w:p>
      <w:pPr>
        <w:pStyle w:val="ListParagraph"/>
        <w:numPr>
          <w:ilvl w:val="0"/>
          <w:numId w:val="2"/>
        </w:numPr>
        <w:spacing w:after="34" w:before="0" w:line="248"/>
      </w:pPr>
      <w:r>
        <w:rPr>
          <w:color w:val="1A1633"/>
          <w:sz w:val="21"/>
          <w:szCs w:val="21"/>
          <w:rFonts w:ascii="Arial" w:cs="Arial" w:eastAsia="Arial" w:hAnsi="Arial"/>
        </w:rPr>
        <w:t xml:space="preserve">Led design and product strategy at Slimming World for a behaviour-change service with 250,000+ members, managing 12 designers and introducing the company-wide design system.</w:t>
      </w:r>
    </w:p>
    <w:p>
      <w:pPr>
        <w:pStyle w:val="ListParagraph"/>
        <w:numPr>
          <w:ilvl w:val="0"/>
          <w:numId w:val="2"/>
        </w:numPr>
        <w:spacing w:after="34" w:before="0" w:line="248"/>
      </w:pPr>
      <w:r>
        <w:rPr>
          <w:color w:val="1A1633"/>
          <w:sz w:val="21"/>
          <w:szCs w:val="21"/>
          <w:rFonts w:ascii="Arial" w:cs="Arial" w:eastAsia="Arial" w:hAnsi="Arial"/>
        </w:rPr>
        <w:t xml:space="preserve">Authored the UX Strategy &amp; Discovery programme at Slimming World, cutting external training spend by 45% and designer onboarding time by 70%.</w:t>
      </w:r>
    </w:p>
    <w:p>
      <w:pPr>
        <w:pStyle w:val="ListParagraph"/>
        <w:numPr>
          <w:ilvl w:val="0"/>
          <w:numId w:val="2"/>
        </w:numPr>
        <w:spacing w:after="34" w:before="0" w:line="248"/>
      </w:pPr>
      <w:r>
        <w:rPr>
          <w:color w:val="1A1633"/>
          <w:sz w:val="21"/>
          <w:szCs w:val="21"/>
          <w:rFonts w:ascii="Arial" w:cs="Arial" w:eastAsia="Arial" w:hAnsi="Arial"/>
        </w:rPr>
        <w:t xml:space="preserve">Secured an Innovate UK grant through RTC North and reached three AI Forge pitch finals for Aletheai; selected as a judge for LCC Accelerate 2026 (UAL with the NatWest Accelerator).</w:t>
      </w:r>
    </w:p>
    <w:p>
      <w:pPr>
        <w:pStyle w:val="ListParagraph"/>
        <w:numPr>
          <w:ilvl w:val="0"/>
          <w:numId w:val="2"/>
        </w:numPr>
        <w:spacing w:after="34" w:before="0" w:line="248"/>
      </w:pPr>
      <w:r>
        <w:rPr>
          <w:color w:val="1A1633"/>
          <w:sz w:val="21"/>
          <w:szCs w:val="21"/>
          <w:rFonts w:ascii="Arial" w:cs="Arial" w:eastAsia="Arial" w:hAnsi="Arial"/>
        </w:rPr>
        <w:t xml:space="preserve">Co-founded Shake Your Power and designed SPARK, the first energy-generating musical instrument: US patent granted, two London Design Award Golds, STEM pilots in the UK, US and India.</w:t>
      </w:r>
    </w:p>
    <w:p>
      <w:pPr>
        <w:keepNext/>
        <w:pBdr>
          <w:top w:val="single" w:color="BFB8DC" w:sz="8" w:space="6"/>
        </w:pBdr>
        <w:spacing w:after="60" w:before="150" w:line="252"/>
        <w:jc w:val="center"/>
      </w:pPr>
      <w:r>
        <w:rPr>
          <w:b/>
          <w:bCs/>
          <w:color w:val="5B4BC4"/>
          <w:sz w:val="24"/>
          <w:szCs w:val="24"/>
          <w:rFonts w:ascii="Arial" w:cs="Arial" w:eastAsia="Arial" w:hAnsi="Arial"/>
        </w:rPr>
        <w:t xml:space="preserve">Professional experience</w:t>
      </w:r>
    </w:p>
    <w:p>
      <w:pPr>
        <w:keepNext/>
        <w:spacing w:after="6" w:before="110" w:line="252"/>
      </w:pPr>
      <w:r>
        <w:rPr>
          <w:b/>
          <w:bCs/>
          <w:color w:val="1A1633"/>
          <w:sz w:val="22"/>
          <w:szCs w:val="22"/>
          <w:rFonts w:ascii="Arial" w:cs="Arial" w:eastAsia="Arial" w:hAnsi="Arial"/>
        </w:rPr>
        <w:t xml:space="preserve">Founder &amp; CEO</w:t>
      </w:r>
      <w:r>
        <w:rPr>
          <w:color w:val="4F4B66"/>
          <w:sz w:val="21"/>
          <w:szCs w:val="21"/>
          <w:rFonts w:ascii="Arial" w:cs="Arial" w:eastAsia="Arial" w:hAnsi="Arial"/>
        </w:rPr>
        <w:t xml:space="preserve">  §  </w:t>
      </w:r>
      <w:r>
        <w:rPr>
          <w:b/>
          <w:bCs/>
          <w:color w:val="1A1633"/>
          <w:sz w:val="22"/>
          <w:szCs w:val="22"/>
          <w:rFonts w:ascii="Arial" w:cs="Arial" w:eastAsia="Arial" w:hAnsi="Arial"/>
        </w:rPr>
        <w:t xml:space="preserve">Dec 2024 – Present</w:t>
      </w:r>
    </w:p>
    <w:p>
      <w:pPr>
        <w:keepNext/>
        <w:spacing w:after="24" w:before="0" w:line="252"/>
      </w:pPr>
      <w:r>
        <w:rPr>
          <w:color w:val="4F4B66"/>
          <w:sz w:val="21"/>
          <w:szCs w:val="21"/>
          <w:rFonts w:ascii="Arial" w:cs="Arial" w:eastAsia="Arial" w:hAnsi="Arial"/>
        </w:rPr>
        <w:t xml:space="preserve">Aletheai (Monomindai Ltd)</w:t>
      </w:r>
      <w:r>
        <w:rPr>
          <w:color w:val="4F4B66"/>
          <w:sz w:val="21"/>
          <w:szCs w:val="21"/>
          <w:rFonts w:ascii="Arial" w:cs="Arial" w:eastAsia="Arial" w:hAnsi="Arial"/>
        </w:rPr>
        <w:t xml:space="preserve">  ·  London</w:t>
      </w:r>
    </w:p>
    <w:p>
      <w:pPr>
        <w:keepNext/>
        <w:spacing w:after="34" w:before="0" w:line="248"/>
      </w:pPr>
      <w:r>
        <w:rPr>
          <w:color w:val="1A1633"/>
          <w:sz w:val="21"/>
          <w:szCs w:val="21"/>
          <w:rFonts w:ascii="Arial" w:cs="Arial" w:eastAsia="Arial" w:hAnsi="Arial"/>
        </w:rPr>
        <w:t xml:space="preserve">Founded and lead a behavioural decision-intelligence company: product strategy, architecture, IP, governance and commercial direction. Launching through the Alto (Zoopla Group) marketplace, with the first cohort recruiting.</w:t>
      </w:r>
    </w:p>
    <w:p>
      <w:pPr>
        <w:pStyle w:val="ListParagraph"/>
        <w:numPr>
          <w:ilvl w:val="0"/>
          <w:numId w:val="2"/>
        </w:numPr>
        <w:spacing w:after="34" w:before="0" w:line="248"/>
      </w:pPr>
      <w:r>
        <w:rPr>
          <w:b/>
          <w:bCs/>
          <w:color w:val="1A1633"/>
          <w:sz w:val="21"/>
          <w:szCs w:val="21"/>
          <w:rFonts w:ascii="Arial" w:cs="Arial" w:eastAsia="Arial" w:hAnsi="Arial"/>
        </w:rPr>
        <w:t xml:space="preserve">Discovery: </w:t>
      </w:r>
      <w:r>
        <w:rPr>
          <w:color w:val="1A1633"/>
          <w:sz w:val="21"/>
          <w:szCs w:val="21"/>
          <w:rFonts w:ascii="Arial" w:cs="Arial" w:eastAsia="Arial" w:hAnsi="Arial"/>
        </w:rPr>
        <w:t xml:space="preserve">Turned discovery interviews with UK and US estate agents into the product's value proposition and specification.</w:t>
      </w:r>
    </w:p>
    <w:p>
      <w:pPr>
        <w:pStyle w:val="ListParagraph"/>
        <w:numPr>
          <w:ilvl w:val="0"/>
          <w:numId w:val="2"/>
        </w:numPr>
        <w:spacing w:after="34" w:before="0" w:line="248"/>
      </w:pPr>
      <w:r>
        <w:rPr>
          <w:b/>
          <w:bCs/>
          <w:color w:val="1A1633"/>
          <w:sz w:val="21"/>
          <w:szCs w:val="21"/>
          <w:rFonts w:ascii="Arial" w:cs="Arial" w:eastAsia="Arial" w:hAnsi="Arial"/>
        </w:rPr>
        <w:t xml:space="preserve">Governance by design: </w:t>
      </w:r>
      <w:r>
        <w:rPr>
          <w:color w:val="1A1633"/>
          <w:sz w:val="21"/>
          <w:szCs w:val="21"/>
          <w:rFonts w:ascii="Arial" w:cs="Arial" w:eastAsia="Arial" w:hAnsi="Arial"/>
        </w:rPr>
        <w:t xml:space="preserve">Made every ranked item carry a plain-English reason and next action, with a recorded refusal when the evidence is insufficient.</w:t>
      </w:r>
    </w:p>
    <w:p>
      <w:pPr>
        <w:pStyle w:val="ListParagraph"/>
        <w:numPr>
          <w:ilvl w:val="0"/>
          <w:numId w:val="2"/>
        </w:numPr>
        <w:spacing w:after="34" w:before="0" w:line="248"/>
      </w:pPr>
      <w:r>
        <w:rPr>
          <w:b/>
          <w:bCs/>
          <w:color w:val="1A1633"/>
          <w:sz w:val="21"/>
          <w:szCs w:val="21"/>
          <w:rFonts w:ascii="Arial" w:cs="Arial" w:eastAsia="Arial" w:hAnsi="Arial"/>
        </w:rPr>
        <w:t xml:space="preserve">IP and disclosure: </w:t>
      </w:r>
      <w:r>
        <w:rPr>
          <w:color w:val="1A1633"/>
          <w:sz w:val="21"/>
          <w:szCs w:val="21"/>
          <w:rFonts w:ascii="Arial" w:cs="Arial" w:eastAsia="Arial" w:hAnsi="Arial"/>
        </w:rPr>
        <w:t xml:space="preserve">Drafted the filings and wrote the disclosure rules that govern what the company publishes about them.</w:t>
      </w:r>
    </w:p>
    <w:p>
      <w:pPr>
        <w:pStyle w:val="ListParagraph"/>
        <w:numPr>
          <w:ilvl w:val="0"/>
          <w:numId w:val="2"/>
        </w:numPr>
        <w:spacing w:after="34" w:before="0" w:line="248"/>
      </w:pPr>
      <w:r>
        <w:rPr>
          <w:b/>
          <w:bCs/>
          <w:color w:val="1A1633"/>
          <w:sz w:val="21"/>
          <w:szCs w:val="21"/>
          <w:rFonts w:ascii="Arial" w:cs="Arial" w:eastAsia="Arial" w:hAnsi="Arial"/>
        </w:rPr>
        <w:t xml:space="preserve">Delivery and assurance: </w:t>
      </w:r>
      <w:r>
        <w:rPr>
          <w:color w:val="1A1633"/>
          <w:sz w:val="21"/>
          <w:szCs w:val="21"/>
          <w:rFonts w:ascii="Arial" w:cs="Arial" w:eastAsia="Arial" w:hAnsi="Arial"/>
        </w:rPr>
        <w:t xml:space="preserve">Directed AI coding agents under written specifications and review gates; wrote the data-protection and security packs.</w:t>
      </w:r>
    </w:p>
    <w:p>
      <w:pPr>
        <w:keepNext/>
        <w:spacing w:after="6" w:before="110" w:line="252"/>
      </w:pPr>
      <w:r>
        <w:rPr>
          <w:b/>
          <w:bCs/>
          <w:color w:val="1A1633"/>
          <w:sz w:val="22"/>
          <w:szCs w:val="22"/>
          <w:rFonts w:ascii="Arial" w:cs="Arial" w:eastAsia="Arial" w:hAnsi="Arial"/>
        </w:rPr>
        <w:t xml:space="preserve">Principal UX Strategist · Design Department Manager</w:t>
      </w:r>
      <w:r>
        <w:rPr>
          <w:color w:val="4F4B66"/>
          <w:sz w:val="21"/>
          <w:szCs w:val="21"/>
          <w:rFonts w:ascii="Arial" w:cs="Arial" w:eastAsia="Arial" w:hAnsi="Arial"/>
        </w:rPr>
        <w:t xml:space="preserve">  §  </w:t>
      </w:r>
      <w:r>
        <w:rPr>
          <w:b/>
          <w:bCs/>
          <w:color w:val="1A1633"/>
          <w:sz w:val="22"/>
          <w:szCs w:val="22"/>
          <w:rFonts w:ascii="Arial" w:cs="Arial" w:eastAsia="Arial" w:hAnsi="Arial"/>
        </w:rPr>
        <w:t xml:space="preserve">2019 – 2024</w:t>
      </w:r>
    </w:p>
    <w:p>
      <w:pPr>
        <w:keepNext/>
        <w:spacing w:after="24" w:before="0" w:line="252"/>
      </w:pPr>
      <w:r>
        <w:rPr>
          <w:color w:val="4F4B66"/>
          <w:sz w:val="21"/>
          <w:szCs w:val="21"/>
          <w:rFonts w:ascii="Arial" w:cs="Arial" w:eastAsia="Arial" w:hAnsi="Arial"/>
        </w:rPr>
        <w:t xml:space="preserve">Slimming World</w:t>
      </w:r>
      <w:r>
        <w:rPr>
          <w:color w:val="4F4B66"/>
          <w:sz w:val="21"/>
          <w:szCs w:val="21"/>
          <w:rFonts w:ascii="Arial" w:cs="Arial" w:eastAsia="Arial" w:hAnsi="Arial"/>
        </w:rPr>
        <w:t xml:space="preserve">  ·  Derbyshire, UK</w:t>
      </w:r>
    </w:p>
    <w:p>
      <w:pPr>
        <w:keepNext/>
        <w:spacing w:after="34" w:before="0" w:line="248"/>
      </w:pPr>
      <w:r>
        <w:rPr>
          <w:color w:val="1A1633"/>
          <w:sz w:val="21"/>
          <w:szCs w:val="21"/>
          <w:rFonts w:ascii="Arial" w:cs="Arial" w:eastAsia="Arial" w:hAnsi="Arial"/>
        </w:rPr>
        <w:t xml:space="preserve">Led design and product strategy for one of the UK's largest behaviour-change services, with 250,000+ active members.</w:t>
      </w:r>
    </w:p>
    <w:p>
      <w:pPr>
        <w:pStyle w:val="ListParagraph"/>
        <w:numPr>
          <w:ilvl w:val="0"/>
          <w:numId w:val="2"/>
        </w:numPr>
        <w:spacing w:after="34" w:before="0" w:line="248"/>
      </w:pPr>
      <w:r>
        <w:rPr>
          <w:b/>
          <w:bCs/>
          <w:color w:val="1A1633"/>
          <w:sz w:val="21"/>
          <w:szCs w:val="21"/>
          <w:rFonts w:ascii="Arial" w:cs="Arial" w:eastAsia="Arial" w:hAnsi="Arial"/>
        </w:rPr>
        <w:t xml:space="preserve">Team and systems: </w:t>
      </w:r>
      <w:r>
        <w:rPr>
          <w:color w:val="1A1633"/>
          <w:sz w:val="21"/>
          <w:szCs w:val="21"/>
          <w:rFonts w:ascii="Arial" w:cs="Arial" w:eastAsia="Arial" w:hAnsi="Arial"/>
        </w:rPr>
        <w:t xml:space="preserve">Managed 12 UX, UI and service designers and introduced the company-wide design system across web and mobile.</w:t>
      </w:r>
    </w:p>
    <w:p>
      <w:pPr>
        <w:pStyle w:val="ListParagraph"/>
        <w:numPr>
          <w:ilvl w:val="0"/>
          <w:numId w:val="2"/>
        </w:numPr>
        <w:spacing w:after="34" w:before="0" w:line="248"/>
      </w:pPr>
      <w:r>
        <w:rPr>
          <w:b/>
          <w:bCs/>
          <w:color w:val="1A1633"/>
          <w:sz w:val="21"/>
          <w:szCs w:val="21"/>
          <w:rFonts w:ascii="Arial" w:cs="Arial" w:eastAsia="Arial" w:hAnsi="Arial"/>
        </w:rPr>
        <w:t xml:space="preserve">Strategy: </w:t>
      </w:r>
      <w:r>
        <w:rPr>
          <w:color w:val="1A1633"/>
          <w:sz w:val="21"/>
          <w:szCs w:val="21"/>
          <w:rFonts w:ascii="Arial" w:cs="Arial" w:eastAsia="Arial" w:hAnsi="Arial"/>
        </w:rPr>
        <w:t xml:space="preserve">Led the digital North Star strategy across product, marketing and leadership; briefed the C-suite on competitor and trend research.</w:t>
      </w:r>
    </w:p>
    <w:p>
      <w:pPr>
        <w:pStyle w:val="ListParagraph"/>
        <w:numPr>
          <w:ilvl w:val="0"/>
          <w:numId w:val="2"/>
        </w:numPr>
        <w:spacing w:after="34" w:before="0" w:line="248"/>
      </w:pPr>
      <w:r>
        <w:rPr>
          <w:b/>
          <w:bCs/>
          <w:color w:val="1A1633"/>
          <w:sz w:val="21"/>
          <w:szCs w:val="21"/>
          <w:rFonts w:ascii="Arial" w:cs="Arial" w:eastAsia="Arial" w:hAnsi="Arial"/>
        </w:rPr>
        <w:t xml:space="preserve">Behavioural insight: </w:t>
      </w:r>
      <w:r>
        <w:rPr>
          <w:color w:val="1A1633"/>
          <w:sz w:val="21"/>
          <w:szCs w:val="21"/>
          <w:rFonts w:ascii="Arial" w:cs="Arial" w:eastAsia="Arial" w:hAnsi="Arial"/>
        </w:rPr>
        <w:t xml:space="preserve">Built and presented an early behavioural-intelligence proof of concept for the member journey.</w:t>
      </w:r>
    </w:p>
    <w:p>
      <w:pPr>
        <w:keepNext/>
        <w:spacing w:after="6" w:before="110" w:line="252"/>
      </w:pPr>
      <w:r>
        <w:rPr>
          <w:b/>
          <w:bCs/>
          <w:color w:val="1A1633"/>
          <w:sz w:val="22"/>
          <w:szCs w:val="22"/>
          <w:rFonts w:ascii="Arial" w:cs="Arial" w:eastAsia="Arial" w:hAnsi="Arial"/>
        </w:rPr>
        <w:t xml:space="preserve">Founder</w:t>
      </w:r>
      <w:r>
        <w:rPr>
          <w:color w:val="4F4B66"/>
          <w:sz w:val="21"/>
          <w:szCs w:val="21"/>
          <w:rFonts w:ascii="Arial" w:cs="Arial" w:eastAsia="Arial" w:hAnsi="Arial"/>
        </w:rPr>
        <w:t xml:space="preserve">  §  </w:t>
      </w:r>
      <w:r>
        <w:rPr>
          <w:b/>
          <w:bCs/>
          <w:color w:val="1A1633"/>
          <w:sz w:val="22"/>
          <w:szCs w:val="22"/>
          <w:rFonts w:ascii="Arial" w:cs="Arial" w:eastAsia="Arial" w:hAnsi="Arial"/>
        </w:rPr>
        <w:t xml:space="preserve">Apr 2024 – Present</w:t>
      </w:r>
    </w:p>
    <w:p>
      <w:pPr>
        <w:keepNext/>
        <w:spacing w:after="24" w:before="0" w:line="252"/>
      </w:pPr>
      <w:r>
        <w:rPr>
          <w:color w:val="4F4B66"/>
          <w:sz w:val="21"/>
          <w:szCs w:val="21"/>
          <w:rFonts w:ascii="Arial" w:cs="Arial" w:eastAsia="Arial" w:hAnsi="Arial"/>
        </w:rPr>
        <w:t xml:space="preserve">DiSH Creative Ltd</w:t>
      </w:r>
      <w:r>
        <w:rPr>
          <w:color w:val="4F4B66"/>
          <w:sz w:val="21"/>
          <w:szCs w:val="21"/>
          <w:rFonts w:ascii="Arial" w:cs="Arial" w:eastAsia="Arial" w:hAnsi="Arial"/>
        </w:rPr>
        <w:t xml:space="preserve">  ·  London (clients UK and US)</w:t>
      </w:r>
    </w:p>
    <w:p>
      <w:pPr>
        <w:keepNext/>
        <w:spacing w:after="34" w:before="0" w:line="248"/>
      </w:pPr>
      <w:r>
        <w:rPr>
          <w:color w:val="1A1633"/>
          <w:sz w:val="21"/>
          <w:szCs w:val="21"/>
          <w:rFonts w:ascii="Arial" w:cs="Arial" w:eastAsia="Arial" w:hAnsi="Arial"/>
        </w:rPr>
        <w:t xml:space="preserve">AI strategy and applied-AI delivery on contract for commercial and non-profit clients.</w:t>
      </w:r>
    </w:p>
    <w:p>
      <w:pPr>
        <w:pStyle w:val="ListParagraph"/>
        <w:numPr>
          <w:ilvl w:val="0"/>
          <w:numId w:val="2"/>
        </w:numPr>
        <w:spacing w:after="34" w:before="0" w:line="248"/>
      </w:pPr>
      <w:r>
        <w:rPr>
          <w:b/>
          <w:bCs/>
          <w:color w:val="1A1633"/>
          <w:sz w:val="21"/>
          <w:szCs w:val="21"/>
          <w:rFonts w:ascii="Arial" w:cs="Arial" w:eastAsia="Arial" w:hAnsi="Arial"/>
        </w:rPr>
        <w:t xml:space="preserve">Language Kids World, Houston: </w:t>
      </w:r>
      <w:r>
        <w:rPr>
          <w:color w:val="1A1633"/>
          <w:sz w:val="21"/>
          <w:szCs w:val="21"/>
          <w:rFonts w:ascii="Arial" w:cs="Arial" w:eastAsia="Arial" w:hAnsi="Arial"/>
        </w:rPr>
        <w:t xml:space="preserve">Mapped a 60-person language-education operation and sequenced AI automations so each relieved the next, taking curriculum development from weeks to hours; found and closed a security gap unprompted.</w:t>
      </w:r>
    </w:p>
    <w:p>
      <w:pPr>
        <w:pStyle w:val="ListParagraph"/>
        <w:numPr>
          <w:ilvl w:val="0"/>
          <w:numId w:val="2"/>
        </w:numPr>
        <w:spacing w:after="34" w:before="0" w:line="248"/>
      </w:pPr>
      <w:r>
        <w:rPr>
          <w:b/>
          <w:bCs/>
          <w:color w:val="1A1633"/>
          <w:sz w:val="21"/>
          <w:szCs w:val="21"/>
          <w:rFonts w:ascii="Arial" w:cs="Arial" w:eastAsia="Arial" w:hAnsi="Arial"/>
        </w:rPr>
        <w:t xml:space="preserve">Oversight by design: </w:t>
      </w:r>
      <w:r>
        <w:rPr>
          <w:color w:val="1A1633"/>
          <w:sz w:val="21"/>
          <w:szCs w:val="21"/>
          <w:rFonts w:ascii="Arial" w:cs="Arial" w:eastAsia="Arial" w:hAnsi="Arial"/>
        </w:rPr>
        <w:t xml:space="preserve">Ran board workshops on AI use-case prioritisation and designed frameworks combining rules, model assistance and human oversight.</w:t>
      </w:r>
    </w:p>
    <w:p>
      <w:pPr>
        <w:keepNext/>
        <w:spacing w:after="6" w:before="110" w:line="252"/>
      </w:pPr>
      <w:r>
        <w:rPr>
          <w:b/>
          <w:bCs/>
          <w:color w:val="1A1633"/>
          <w:sz w:val="22"/>
          <w:szCs w:val="22"/>
          <w:rFonts w:ascii="Arial" w:cs="Arial" w:eastAsia="Arial" w:hAnsi="Arial"/>
        </w:rPr>
        <w:t xml:space="preserve">Lecturer, AI-native product building · Mentor and judge</w:t>
      </w:r>
      <w:r>
        <w:rPr>
          <w:color w:val="4F4B66"/>
          <w:sz w:val="21"/>
          <w:szCs w:val="21"/>
          <w:rFonts w:ascii="Arial" w:cs="Arial" w:eastAsia="Arial" w:hAnsi="Arial"/>
        </w:rPr>
        <w:t xml:space="preserve">  §  </w:t>
      </w:r>
      <w:r>
        <w:rPr>
          <w:b/>
          <w:bCs/>
          <w:color w:val="1A1633"/>
          <w:sz w:val="22"/>
          <w:szCs w:val="22"/>
          <w:rFonts w:ascii="Arial" w:cs="Arial" w:eastAsia="Arial" w:hAnsi="Arial"/>
        </w:rPr>
        <w:t xml:space="preserve">2025 – Present</w:t>
      </w:r>
    </w:p>
    <w:p>
      <w:pPr>
        <w:keepNext/>
        <w:spacing w:after="30" w:before="0" w:line="252"/>
      </w:pPr>
      <w:r>
        <w:rPr>
          <w:color w:val="4F4B66"/>
          <w:sz w:val="21"/>
          <w:szCs w:val="21"/>
          <w:rFonts w:ascii="Arial" w:cs="Arial" w:eastAsia="Arial" w:hAnsi="Arial"/>
        </w:rPr>
        <w:t xml:space="preserve">IED Madrid · London College of Communication (UAL)</w:t>
      </w:r>
      <w:r>
        <w:rPr>
          <w:color w:val="4F4B66"/>
          <w:sz w:val="21"/>
          <w:szCs w:val="21"/>
          <w:rFonts w:ascii="Arial" w:cs="Arial" w:eastAsia="Arial" w:hAnsi="Arial"/>
        </w:rPr>
        <w:t xml:space="preserve">  ·  Madrid · London</w:t>
      </w:r>
    </w:p>
    <w:p>
      <w:pPr>
        <w:pStyle w:val="ListParagraph"/>
        <w:numPr>
          <w:ilvl w:val="0"/>
          <w:numId w:val="2"/>
        </w:numPr>
        <w:spacing w:after="34" w:before="0" w:line="248"/>
      </w:pPr>
      <w:r>
        <w:rPr>
          <w:b/>
          <w:bCs/>
          <w:color w:val="1A1633"/>
          <w:sz w:val="21"/>
          <w:szCs w:val="21"/>
          <w:rFonts w:ascii="Arial" w:cs="Arial" w:eastAsia="Arial" w:hAnsi="Arial"/>
        </w:rPr>
        <w:t xml:space="preserve">Teaching: </w:t>
      </w:r>
      <w:r>
        <w:rPr>
          <w:color w:val="1A1633"/>
          <w:sz w:val="21"/>
          <w:szCs w:val="21"/>
          <w:rFonts w:ascii="Arial" w:cs="Arial" w:eastAsia="Arial" w:hAnsi="Arial"/>
        </w:rPr>
        <w:t xml:space="preserve">Teach MA students who are not engineers to ship working products with LLMs and AI coding agents within one course, and run the same programme as in-house company training.</w:t>
      </w:r>
    </w:p>
    <w:p>
      <w:pPr>
        <w:pStyle w:val="ListParagraph"/>
        <w:numPr>
          <w:ilvl w:val="0"/>
          <w:numId w:val="2"/>
        </w:numPr>
        <w:spacing w:after="34" w:before="0" w:line="248"/>
      </w:pPr>
      <w:r>
        <w:rPr>
          <w:b/>
          <w:bCs/>
          <w:color w:val="1A1633"/>
          <w:sz w:val="21"/>
          <w:szCs w:val="21"/>
          <w:rFonts w:ascii="Arial" w:cs="Arial" w:eastAsia="Arial" w:hAnsi="Arial"/>
        </w:rPr>
        <w:t xml:space="preserve">Mentoring: </w:t>
      </w:r>
      <w:r>
        <w:rPr>
          <w:color w:val="1A1633"/>
          <w:sz w:val="21"/>
          <w:szCs w:val="21"/>
          <w:rFonts w:ascii="Arial" w:cs="Arial" w:eastAsia="Arial" w:hAnsi="Arial"/>
        </w:rPr>
        <w:t xml:space="preserve">Mentor student and graduate founders at LCC.</w:t>
      </w:r>
    </w:p>
    <w:p>
      <w:pPr>
        <w:keepLines/>
        <w:spacing w:after="30" w:before="100" w:line="248"/>
      </w:pPr>
      <w:r>
        <w:rPr>
          <w:b/>
          <w:bCs/>
          <w:color w:val="1A1633"/>
          <w:sz w:val="21"/>
          <w:szCs w:val="21"/>
          <w:rFonts w:ascii="Arial" w:cs="Arial" w:eastAsia="Arial" w:hAnsi="Arial"/>
        </w:rPr>
        <w:t xml:space="preserve">Earlier career: </w:t>
      </w:r>
      <w:r>
        <w:rPr>
          <w:color w:val="1A1633"/>
          <w:sz w:val="21"/>
          <w:szCs w:val="21"/>
          <w:rFonts w:ascii="Arial" w:cs="Arial" w:eastAsia="Arial" w:hAnsi="Arial"/>
        </w:rPr>
        <w:t xml:space="preserve">Senior Lecturer in Product Design, Nottingham Trent University (2017–19) · Co-founder &amp; Chief Product Officer, Shake Your Power CIC (2014–17) · Founder, Monogram Publishers (2014–) · Founder and designer, Glass Lab (2012–14).</w:t>
      </w:r>
    </w:p>
    <w:p>
      <w:pPr>
        <w:keepNext/>
        <w:pBdr>
          <w:top w:val="single" w:color="BFB8DC" w:sz="8" w:space="6"/>
        </w:pBdr>
        <w:spacing w:after="60" w:before="150" w:line="252"/>
        <w:jc w:val="center"/>
      </w:pPr>
      <w:r>
        <w:rPr>
          <w:b/>
          <w:bCs/>
          <w:color w:val="5B4BC4"/>
          <w:sz w:val="24"/>
          <w:szCs w:val="24"/>
          <w:rFonts w:ascii="Arial" w:cs="Arial" w:eastAsia="Arial" w:hAnsi="Arial"/>
        </w:rPr>
        <w:t xml:space="preserve">Patents, research and publications</w:t>
      </w:r>
    </w:p>
    <w:p>
      <w:pPr>
        <w:pStyle w:val="ListParagraph"/>
        <w:numPr>
          <w:ilvl w:val="0"/>
          <w:numId w:val="2"/>
        </w:numPr>
        <w:spacing w:after="34" w:before="0" w:line="248"/>
      </w:pPr>
      <w:r>
        <w:rPr>
          <w:b/>
          <w:bCs/>
          <w:color w:val="1A1633"/>
          <w:sz w:val="21"/>
          <w:szCs w:val="21"/>
          <w:rFonts w:ascii="Arial" w:cs="Arial" w:eastAsia="Arial" w:hAnsi="Arial"/>
        </w:rPr>
        <w:t xml:space="preserve">Patent application: behavioural decision intelligence: </w:t>
      </w:r>
      <w:r>
        <w:rPr>
          <w:color w:val="1A1633"/>
          <w:sz w:val="21"/>
          <w:szCs w:val="21"/>
          <w:rFonts w:ascii="Arial" w:cs="Arial" w:eastAsia="Arial" w:hAnsi="Arial"/>
        </w:rPr>
        <w:t xml:space="preserve">International (PCT), priority September 2025. A decision engine that ranks who or what deserves attention by the evidence, attaches a plain-English reason and next action to every item, and refuses to rank where the evidence is insufficient, with the refusal recorded.</w:t>
      </w:r>
    </w:p>
    <w:p>
      <w:pPr>
        <w:pStyle w:val="ListParagraph"/>
        <w:numPr>
          <w:ilvl w:val="0"/>
          <w:numId w:val="2"/>
        </w:numPr>
        <w:spacing w:after="34" w:before="0" w:line="248"/>
      </w:pPr>
      <w:r>
        <w:rPr>
          <w:b/>
          <w:bCs/>
          <w:color w:val="1A1633"/>
          <w:sz w:val="21"/>
          <w:szCs w:val="21"/>
          <w:rFonts w:ascii="Arial" w:cs="Arial" w:eastAsia="Arial" w:hAnsi="Arial"/>
        </w:rPr>
        <w:t xml:space="preserve">Patent application: action gating for AI agents: </w:t>
      </w:r>
      <w:r>
        <w:rPr>
          <w:color w:val="1A1633"/>
          <w:sz w:val="21"/>
          <w:szCs w:val="21"/>
          <w:rFonts w:ascii="Arial" w:cs="Arial" w:eastAsia="Arial" w:hAnsi="Arial"/>
        </w:rPr>
        <w:t xml:space="preserve">UK, September 2026. Every act an AI agent takes passes through a gate the agent cannot reach, is registered before it happens and must be justified by evidence the agent did not write; oversight does not depend on reading the agent's reasoning. Four further applications filed in 2026 are unpublished.</w:t>
      </w:r>
    </w:p>
    <w:p>
      <w:pPr>
        <w:pStyle w:val="ListParagraph"/>
        <w:numPr>
          <w:ilvl w:val="0"/>
          <w:numId w:val="2"/>
        </w:numPr>
        <w:spacing w:after="34" w:before="0" w:line="248"/>
      </w:pPr>
      <w:r>
        <w:rPr>
          <w:b/>
          <w:bCs/>
          <w:color w:val="1A1633"/>
          <w:sz w:val="21"/>
          <w:szCs w:val="21"/>
          <w:rFonts w:ascii="Arial" w:cs="Arial" w:eastAsia="Arial" w:hAnsi="Arial"/>
        </w:rPr>
        <w:t xml:space="preserve">Design Poiesis (2026): </w:t>
      </w:r>
      <w:r>
        <w:rPr>
          <w:color w:val="1A1633"/>
          <w:sz w:val="21"/>
          <w:szCs w:val="21"/>
          <w:rFonts w:ascii="Arial" w:cs="Arial" w:eastAsia="Arial" w:hAnsi="Arial"/>
        </w:rPr>
        <w:t xml:space="preserve">Own design methodology for the age of AI: five moves, two rails and a gate, in which every insight carries its trail. dianasimpsonhernandez.com/design-poiesis</w:t>
      </w:r>
    </w:p>
    <w:p>
      <w:pPr>
        <w:pStyle w:val="ListParagraph"/>
        <w:numPr>
          <w:ilvl w:val="0"/>
          <w:numId w:val="2"/>
        </w:numPr>
        <w:spacing w:after="34" w:before="0" w:line="248"/>
      </w:pPr>
      <w:r>
        <w:rPr>
          <w:b/>
          <w:bCs/>
          <w:color w:val="1A1633"/>
          <w:sz w:val="21"/>
          <w:szCs w:val="21"/>
          <w:rFonts w:ascii="Arial" w:cs="Arial" w:eastAsia="Arial" w:hAnsi="Arial"/>
        </w:rPr>
        <w:t xml:space="preserve">Writing: </w:t>
      </w:r>
      <w:r>
        <w:rPr>
          <w:color w:val="1A1633"/>
          <w:sz w:val="21"/>
          <w:szCs w:val="21"/>
          <w:rFonts w:ascii="Arial" w:cs="Arial" w:eastAsia="Arial" w:hAnsi="Arial"/>
        </w:rPr>
        <w:t xml:space="preserve">The Astra Moment and The Black Box Problem (Substack, 2026), on oversight when AI reasoning becomes harder to read; MA dissertation, Modern Mythopoeia (Royal College of Art, 2012).</w:t>
      </w:r>
    </w:p>
    <w:p>
      <w:pPr>
        <w:keepNext/>
        <w:pBdr>
          <w:top w:val="single" w:color="BFB8DC" w:sz="8" w:space="6"/>
        </w:pBdr>
        <w:spacing w:after="60" w:before="150" w:line="252"/>
        <w:jc w:val="center"/>
      </w:pPr>
      <w:r>
        <w:rPr>
          <w:b/>
          <w:bCs/>
          <w:color w:val="5B4BC4"/>
          <w:sz w:val="24"/>
          <w:szCs w:val="24"/>
          <w:rFonts w:ascii="Arial" w:cs="Arial" w:eastAsia="Arial" w:hAnsi="Arial"/>
        </w:rPr>
        <w:t xml:space="preserve">Education and training</w:t>
      </w:r>
    </w:p>
    <w:p>
      <w:pPr>
        <w:spacing w:after="40" w:before="0" w:line="248"/>
      </w:pPr>
      <w:r>
        <w:rPr>
          <w:b/>
          <w:bCs/>
          <w:color w:val="1A1633"/>
          <w:sz w:val="21"/>
          <w:szCs w:val="21"/>
          <w:rFonts w:ascii="Arial" w:cs="Arial" w:eastAsia="Arial" w:hAnsi="Arial"/>
        </w:rPr>
        <w:t xml:space="preserve">Degrees:  </w:t>
      </w:r>
      <w:r>
        <w:rPr>
          <w:color w:val="1A1633"/>
          <w:sz w:val="21"/>
          <w:szCs w:val="21"/>
          <w:rFonts w:ascii="Arial" w:cs="Arial" w:eastAsia="Arial" w:hAnsi="Arial"/>
        </w:rPr>
        <w:t xml:space="preserve">MA Design Products, Royal College of Art · BA Product Design, Central Saint Martins, University of the Arts London</w:t>
      </w:r>
    </w:p>
    <w:p>
      <w:pPr>
        <w:spacing w:after="40" w:before="0" w:line="248"/>
      </w:pPr>
      <w:r>
        <w:rPr>
          <w:b/>
          <w:bCs/>
          <w:color w:val="1A1633"/>
          <w:sz w:val="21"/>
          <w:szCs w:val="21"/>
          <w:rFonts w:ascii="Arial" w:cs="Arial" w:eastAsia="Arial" w:hAnsi="Arial"/>
        </w:rPr>
        <w:t xml:space="preserve">Training:  </w:t>
      </w:r>
      <w:r>
        <w:rPr>
          <w:color w:val="1A1633"/>
          <w:sz w:val="21"/>
          <w:szCs w:val="21"/>
          <w:rFonts w:ascii="Arial" w:cs="Arial" w:eastAsia="Arial" w:hAnsi="Arial"/>
        </w:rPr>
        <w:t xml:space="preserve">MIT xPRO, Designing and Building AI Products and Services (2024) · IDEO U, Service Design (2022) · ILM Level 3, Leadership and Management (2022) · Certified Scrum Master (2020) · Oxford Saïd Business School, FinTech (2019)</w:t>
      </w:r>
    </w:p>
    <w:p>
      <w:pPr>
        <w:keepNext/>
        <w:pBdr>
          <w:top w:val="single" w:color="BFB8DC" w:sz="8" w:space="6"/>
        </w:pBdr>
        <w:spacing w:after="60" w:before="150" w:line="252"/>
        <w:jc w:val="center"/>
      </w:pPr>
      <w:r>
        <w:rPr>
          <w:b/>
          <w:bCs/>
          <w:color w:val="5B4BC4"/>
          <w:sz w:val="24"/>
          <w:szCs w:val="24"/>
          <w:rFonts w:ascii="Arial" w:cs="Arial" w:eastAsia="Arial" w:hAnsi="Arial"/>
        </w:rPr>
        <w:t xml:space="preserve">Skills, affiliations and languages</w:t>
      </w:r>
    </w:p>
    <w:p>
      <w:pPr>
        <w:spacing w:after="40" w:before="0" w:line="248"/>
      </w:pPr>
      <w:r>
        <w:rPr>
          <w:b/>
          <w:bCs/>
          <w:color w:val="1A1633"/>
          <w:sz w:val="21"/>
          <w:szCs w:val="21"/>
          <w:rFonts w:ascii="Arial" w:cs="Arial" w:eastAsia="Arial" w:hAnsi="Arial"/>
        </w:rPr>
        <w:t xml:space="preserve">Tools:  </w:t>
      </w:r>
      <w:r>
        <w:rPr>
          <w:color w:val="1A1633"/>
          <w:sz w:val="21"/>
          <w:szCs w:val="21"/>
          <w:rFonts w:ascii="Arial" w:cs="Arial" w:eastAsia="Arial" w:hAnsi="Arial"/>
        </w:rPr>
        <w:t xml:space="preserve">Claude, OpenAI and Mistral APIs · AI coding agents · Python · Streamlit · Git and GitHub · Figma</w:t>
      </w:r>
    </w:p>
    <w:p>
      <w:pPr>
        <w:spacing w:after="40" w:before="0" w:line="248"/>
      </w:pPr>
      <w:r>
        <w:rPr>
          <w:b/>
          <w:bCs/>
          <w:color w:val="1A1633"/>
          <w:sz w:val="21"/>
          <w:szCs w:val="21"/>
          <w:rFonts w:ascii="Arial" w:cs="Arial" w:eastAsia="Arial" w:hAnsi="Arial"/>
        </w:rPr>
        <w:t xml:space="preserve">Affiliations:  </w:t>
      </w:r>
      <w:r>
        <w:rPr>
          <w:color w:val="1A1633"/>
          <w:sz w:val="21"/>
          <w:szCs w:val="21"/>
          <w:rFonts w:ascii="Arial" w:cs="Arial" w:eastAsia="Arial" w:hAnsi="Arial"/>
        </w:rPr>
        <w:t xml:space="preserve">Fellow, Royal Society of Arts (FRSA) · Associate Fellow, Higher Education Academy (AFHEA) · Education Ambassador, CREATE</w:t>
      </w:r>
    </w:p>
    <w:p>
      <w:pPr>
        <w:spacing w:after="40" w:before="0" w:line="248"/>
      </w:pPr>
      <w:r>
        <w:rPr>
          <w:b/>
          <w:bCs/>
          <w:color w:val="1A1633"/>
          <w:sz w:val="21"/>
          <w:szCs w:val="21"/>
          <w:rFonts w:ascii="Arial" w:cs="Arial" w:eastAsia="Arial" w:hAnsi="Arial"/>
        </w:rPr>
        <w:t xml:space="preserve">Invited talks:  </w:t>
      </w:r>
      <w:r>
        <w:rPr>
          <w:color w:val="1A1633"/>
          <w:sz w:val="21"/>
          <w:szCs w:val="21"/>
          <w:rFonts w:ascii="Arial" w:cs="Arial" w:eastAsia="Arial" w:hAnsi="Arial"/>
        </w:rPr>
        <w:t xml:space="preserve">European Commission, Brussels · British Library · CAMEo Research Institute, University of Leicester · V&amp;A · Royal College of Art</w:t>
      </w:r>
    </w:p>
    <w:p>
      <w:pPr>
        <w:spacing w:after="40" w:before="0" w:line="248"/>
      </w:pPr>
      <w:r>
        <w:rPr>
          <w:b/>
          <w:bCs/>
          <w:color w:val="1A1633"/>
          <w:sz w:val="21"/>
          <w:szCs w:val="21"/>
          <w:rFonts w:ascii="Arial" w:cs="Arial" w:eastAsia="Arial" w:hAnsi="Arial"/>
        </w:rPr>
        <w:t xml:space="preserve">Languages:  </w:t>
      </w:r>
      <w:r>
        <w:rPr>
          <w:color w:val="1A1633"/>
          <w:sz w:val="21"/>
          <w:szCs w:val="21"/>
          <w:rFonts w:ascii="Arial" w:cs="Arial" w:eastAsia="Arial" w:hAnsi="Arial"/>
        </w:rPr>
        <w:t xml:space="preserve">English and Spanish (fluent) · Italian (working)</w:t>
      </w:r>
    </w:p>
    <w:sectPr>
      <w:headerReference w:type="default" r:id="rId6"/>
      <w:headerReference w:type="first" r:id="rId7"/>
      <w:pgSz w:w="11906" w:h="16838" w:orient="portrait"/>
      <w:pgMar w:top="640" w:right="723" w:bottom="620" w:left="723" w:header="40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8DC" w:sz="8" w:space="4"/>
      </w:pBdr>
      <w:tabs>
        <w:tab w:val="right" w:pos="10460"/>
      </w:tabs>
      <w:spacing w:after="80" w:before="0" w:line="252"/>
    </w:pPr>
    <w:r>
      <w:rPr>
        <w:b/>
        <w:bCs/>
        <w:color w:val="1A1633"/>
        <w:sz w:val="22"/>
        <w:szCs w:val="22"/>
        <w:rFonts w:ascii="Arial" w:cs="Arial" w:eastAsia="Arial" w:hAnsi="Arial"/>
      </w:rPr>
      <w:t xml:space="preserve">Diana Simpson-Hernandez</w:t>
    </w:r>
    <w:r>
      <w:rPr>
        <w:color w:val="4F4B66"/>
        <w:sz w:val="19"/>
        <w:szCs w:val="19"/>
        <w:rFonts w:ascii="Arial" w:cs="Arial" w:eastAsia="Arial" w:hAnsi="Arial"/>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633"/>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Diana Simpson-Hernandez — CV — AI Governance and Assurance Lead</dc:title>
  <dc:creator>Diana Simpson-Hernandez</dc:creator>
  <cp:lastModifiedBy>Un-named</cp:lastModifiedBy>
  <cp:revision>1</cp:revision>
  <dcterms:created xsi:type="dcterms:W3CDTF">2026-10-29T11:54:12.521Z</dcterms:created>
  <dcterms:modified xsi:type="dcterms:W3CDTF">2026-10-29T11:54:12.524Z</dcterms:modified>
</cp:coreProperties>
</file>

<file path=docProps/custom.xml><?xml version="1.0" encoding="utf-8"?>
<Properties xmlns="http://schemas.openxmlformats.org/officeDocument/2006/custom-properties" xmlns:vt="http://schemas.openxmlformats.org/officeDocument/2006/docPropsVTypes"/>
</file>