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64"/>
      </w:pPr>
      <w:r>
        <w:rPr>
          <w:rFonts w:ascii="Arial" w:cs="Arial" w:eastAsia="Arial" w:hAnsi="Arial"/>
          <w:b/>
          <w:bCs/>
          <w:color w:val="1A1633"/>
          <w:sz w:val="40"/>
          <w:szCs w:val="40"/>
        </w:rPr>
        <w:t xml:space="preserve">Diana Simpson-Hernandez</w:t>
      </w:r>
    </w:p>
    <w:p>
      <w:pPr>
        <w:spacing w:after="40" w:before="0" w:line="264"/>
      </w:pPr>
      <w:r>
        <w:rPr>
          <w:rFonts w:ascii="Arial" w:cs="Arial" w:eastAsia="Arial" w:hAnsi="Arial"/>
          <w:b/>
          <w:bCs/>
          <w:color w:val="5B4BC4"/>
          <w:sz w:val="22"/>
          <w:szCs w:val="22"/>
        </w:rPr>
        <w:t xml:space="preserve">Contract AI Product &amp; Strategy Lead · Fractional Chief AI Officer</w:t>
      </w:r>
    </w:p>
    <w:p>
      <w:pPr>
        <w:spacing w:after="120" w:before="0" w:line="264"/>
      </w:pPr>
      <w:r>
        <w:rPr>
          <w:rFonts w:ascii="Arial" w:cs="Arial" w:eastAsia="Arial" w:hAnsi="Arial"/>
          <w:color w:val="5B5578"/>
          <w:sz w:val="17"/>
          <w:szCs w:val="17"/>
        </w:rPr>
        <w:t xml:space="preserve">London · remote-first  |  dianasimpsonhernandez@gmail.com  |  +44 (0)7973 933 859  |  linkedin.com/in/dianasimpson  |  dianasimpsonhernandez.com/contract</w:t>
      </w:r>
    </w:p>
    <w:p>
      <w:pPr>
        <w:spacing w:after="20" w:before="0" w:line="250"/>
      </w:pPr>
      <w:r>
        <w:rPr>
          <w:rFonts w:ascii="Arial" w:cs="Arial" w:eastAsia="Arial" w:hAnsi="Arial"/>
          <w:b/>
          <w:bCs/>
          <w:color w:val="1A1633"/>
          <w:sz w:val="19"/>
          <w:szCs w:val="19"/>
        </w:rPr>
        <w:t xml:space="preserve">Availability:  </w:t>
      </w:r>
      <w:r>
        <w:rPr>
          <w:rFonts w:ascii="Arial" w:cs="Arial" w:eastAsia="Arial" w:hAnsi="Arial"/>
          <w:color w:val="1A1633"/>
          <w:sz w:val="19"/>
          <w:szCs w:val="19"/>
        </w:rPr>
        <w:t xml:space="preserve">Available now</w:t>
      </w:r>
    </w:p>
    <w:p>
      <w:pPr>
        <w:spacing w:after="20" w:before="0" w:line="250"/>
      </w:pPr>
      <w:r>
        <w:rPr>
          <w:rFonts w:ascii="Arial" w:cs="Arial" w:eastAsia="Arial" w:hAnsi="Arial"/>
          <w:b/>
          <w:bCs/>
          <w:color w:val="1A1633"/>
          <w:sz w:val="19"/>
          <w:szCs w:val="19"/>
        </w:rPr>
        <w:t xml:space="preserve">Day rate:  </w:t>
      </w:r>
      <w:r>
        <w:rPr>
          <w:rFonts w:ascii="Arial" w:cs="Arial" w:eastAsia="Arial" w:hAnsi="Arial"/>
          <w:color w:val="1A1633"/>
          <w:sz w:val="19"/>
          <w:szCs w:val="19"/>
        </w:rPr>
        <w:t xml:space="preserve">£650–850, outside IR35 via DiSH Creative Ltd (UK)</w:t>
      </w:r>
    </w:p>
    <w:p>
      <w:pPr>
        <w:spacing w:after="20" w:before="0" w:line="250"/>
      </w:pPr>
      <w:r>
        <w:rPr>
          <w:rFonts w:ascii="Arial" w:cs="Arial" w:eastAsia="Arial" w:hAnsi="Arial"/>
          <w:b/>
          <w:bCs/>
          <w:color w:val="1A1633"/>
          <w:sz w:val="19"/>
          <w:szCs w:val="19"/>
        </w:rPr>
        <w:t xml:space="preserve">Pattern:  </w:t>
      </w:r>
      <w:r>
        <w:rPr>
          <w:rFonts w:ascii="Arial" w:cs="Arial" w:eastAsia="Arial" w:hAnsi="Arial"/>
          <w:color w:val="1A1633"/>
          <w:sz w:val="19"/>
          <w:szCs w:val="19"/>
        </w:rPr>
        <w:t xml:space="preserve">2–4 days a week · 2–6 months · on-site London or remote</w:t>
      </w:r>
    </w:p>
    <w:p>
      <w:pPr>
        <w:spacing w:after="20" w:before="0" w:line="250"/>
      </w:pPr>
      <w:r>
        <w:rPr>
          <w:rFonts w:ascii="Arial" w:cs="Arial" w:eastAsia="Arial" w:hAnsi="Arial"/>
          <w:b/>
          <w:bCs/>
          <w:color w:val="1A1633"/>
          <w:sz w:val="19"/>
          <w:szCs w:val="19"/>
        </w:rPr>
        <w:t xml:space="preserve">Right to work:  </w:t>
      </w:r>
      <w:r>
        <w:rPr>
          <w:rFonts w:ascii="Arial" w:cs="Arial" w:eastAsia="Arial" w:hAnsi="Arial"/>
          <w:color w:val="1A1633"/>
          <w:sz w:val="19"/>
          <w:szCs w:val="19"/>
        </w:rPr>
        <w:t xml:space="preserve">UK, no sponsorship needed · delivery in English or Spanish</w:t>
      </w:r>
    </w:p>
    <w:p>
      <w:pPr>
        <w:spacing w:after="20" w:before="0" w:line="250"/>
      </w:pPr>
      <w:r>
        <w:rPr>
          <w:rFonts w:ascii="Arial" w:cs="Arial" w:eastAsia="Arial" w:hAnsi="Arial"/>
          <w:b/>
          <w:bCs/>
          <w:color w:val="1A1633"/>
          <w:sz w:val="19"/>
          <w:szCs w:val="19"/>
        </w:rPr>
        <w:t xml:space="preserve">Not taking:  </w:t>
      </w:r>
      <w:r>
        <w:rPr>
          <w:rFonts w:ascii="Arial" w:cs="Arial" w:eastAsia="Arial" w:hAnsi="Arial"/>
          <w:color w:val="1A1633"/>
          <w:sz w:val="19"/>
          <w:szCs w:val="19"/>
        </w:rPr>
        <w:t xml:space="preserve">Property or wealth-management briefs (conflict with my own venture)</w:t>
      </w:r>
    </w:p>
    <w:p>
      <w:pPr>
        <w:pBdr>
          <w:bottom w:val="single" w:color="E3E0F0" w:sz="6" w:space="3"/>
        </w:pBdr>
        <w:spacing w:after="70" w:before="200"/>
      </w:pPr>
      <w:r>
        <w:rPr>
          <w:rFonts w:ascii="Arial" w:cs="Arial" w:eastAsia="Arial" w:hAnsi="Arial"/>
          <w:b/>
          <w:bCs/>
          <w:color w:val="5B4BC4"/>
          <w:sz w:val="17"/>
          <w:szCs w:val="17"/>
        </w:rPr>
        <w:t xml:space="preserve">PROFILE</w:t>
      </w:r>
    </w:p>
    <w:p>
      <w:pPr>
        <w:spacing w:after="60" w:before="0" w:line="264"/>
      </w:pPr>
      <w:r>
        <w:rPr>
          <w:rFonts w:ascii="Arial" w:cs="Arial" w:eastAsia="Arial" w:hAnsi="Arial"/>
          <w:color w:val="1A1633"/>
          <w:sz w:val="20"/>
          <w:szCs w:val="20"/>
        </w:rPr>
        <w:t xml:space="preserve">Contract AI product and strategy lead with fifteen years turning emerging technology into measured commercial outcomes, and a shipped, patent-pending AI product of my own. I take a team from “we bought the licence” to “we can show the board which decision got better, and by how much”: discovery, decision-level ROI, build-or-buy-or-leave, governance, and the enablement that makes it stick. My methods are published and checkable before you hire me (LEVER, RECALL) — engine-neutral, standard tooling, no vendor tie.</w:t>
      </w:r>
    </w:p>
    <w:p>
      <w:pPr>
        <w:pBdr>
          <w:bottom w:val="single" w:color="E3E0F0" w:sz="6" w:space="3"/>
        </w:pBdr>
        <w:spacing w:after="70" w:before="200"/>
      </w:pPr>
      <w:r>
        <w:rPr>
          <w:rFonts w:ascii="Arial" w:cs="Arial" w:eastAsia="Arial" w:hAnsi="Arial"/>
          <w:b/>
          <w:bCs/>
          <w:color w:val="5B4BC4"/>
          <w:sz w:val="17"/>
          <w:szCs w:val="17"/>
        </w:rPr>
        <w:t xml:space="preserve">WHAT I DO ON CONTRACT</w:t>
      </w:r>
    </w:p>
    <w:p>
      <w:pPr>
        <w:spacing w:after="50" w:line="259"/>
        <w:ind w:left="0"/>
      </w:pPr>
      <w:r>
        <w:rPr>
          <w:rFonts w:ascii="Arial" w:cs="Arial" w:eastAsia="Arial" w:hAnsi="Arial"/>
          <w:b/>
          <w:bCs/>
          <w:color w:val="1A1633"/>
          <w:sz w:val="20"/>
          <w:szCs w:val="20"/>
        </w:rPr>
        <w:t xml:space="preserve">AI adoption &amp; change —  </w:t>
      </w:r>
      <w:r>
        <w:rPr>
          <w:rFonts w:ascii="Arial" w:cs="Arial" w:eastAsia="Arial" w:hAnsi="Arial"/>
          <w:color w:val="1A1633"/>
          <w:sz w:val="20"/>
          <w:szCs w:val="20"/>
        </w:rPr>
        <w:t xml:space="preserve">from licence bought to measurable decision uplift; sequenced so nothing breaks downstream</w:t>
      </w:r>
    </w:p>
    <w:p>
      <w:pPr>
        <w:spacing w:after="50" w:line="259"/>
        <w:ind w:left="0"/>
      </w:pPr>
      <w:r>
        <w:rPr>
          <w:rFonts w:ascii="Arial" w:cs="Arial" w:eastAsia="Arial" w:hAnsi="Arial"/>
          <w:b/>
          <w:bCs/>
          <w:color w:val="1A1633"/>
          <w:sz w:val="20"/>
          <w:szCs w:val="20"/>
        </w:rPr>
        <w:t xml:space="preserve">AI product strategy / fractional CAIO —  </w:t>
      </w:r>
      <w:r>
        <w:rPr>
          <w:rFonts w:ascii="Arial" w:cs="Arial" w:eastAsia="Arial" w:hAnsi="Arial"/>
          <w:color w:val="1A1633"/>
          <w:sz w:val="20"/>
          <w:szCs w:val="20"/>
        </w:rPr>
        <w:t xml:space="preserve">what to build, buy or leave alone, priced at the decision level; roadmap, pilot design, vendor selection</w:t>
      </w:r>
    </w:p>
    <w:p>
      <w:pPr>
        <w:spacing w:after="50" w:line="259"/>
        <w:ind w:left="0"/>
      </w:pPr>
      <w:r>
        <w:rPr>
          <w:rFonts w:ascii="Arial" w:cs="Arial" w:eastAsia="Arial" w:hAnsi="Arial"/>
          <w:b/>
          <w:bCs/>
          <w:color w:val="1A1633"/>
          <w:sz w:val="20"/>
          <w:szCs w:val="20"/>
        </w:rPr>
        <w:t xml:space="preserve">Governance &amp; assurance —  </w:t>
      </w:r>
      <w:r>
        <w:rPr>
          <w:rFonts w:ascii="Arial" w:cs="Arial" w:eastAsia="Arial" w:hAnsi="Arial"/>
          <w:color w:val="1A1633"/>
          <w:sz w:val="20"/>
          <w:szCs w:val="20"/>
        </w:rPr>
        <w:t xml:space="preserve">decision ledgers, gold sets, model evaluation, DPIA-ready evidence trails that survive an audit</w:t>
      </w:r>
    </w:p>
    <w:p>
      <w:pPr>
        <w:spacing w:after="50" w:line="259"/>
        <w:ind w:left="0"/>
      </w:pPr>
      <w:r>
        <w:rPr>
          <w:rFonts w:ascii="Arial" w:cs="Arial" w:eastAsia="Arial" w:hAnsi="Arial"/>
          <w:b/>
          <w:bCs/>
          <w:color w:val="1A1633"/>
          <w:sz w:val="20"/>
          <w:szCs w:val="20"/>
        </w:rPr>
        <w:t xml:space="preserve">Literacy &amp; enablement —  </w:t>
      </w:r>
      <w:r>
        <w:rPr>
          <w:rFonts w:ascii="Arial" w:cs="Arial" w:eastAsia="Arial" w:hAnsi="Arial"/>
          <w:color w:val="1A1633"/>
          <w:sz w:val="20"/>
          <w:szCs w:val="20"/>
        </w:rPr>
        <w:t xml:space="preserve">curriculum and workshops that get operators shipping their own tools (Vibecoding protocol, REWIRED)</w:t>
      </w:r>
    </w:p>
    <w:p>
      <w:pPr>
        <w:pBdr>
          <w:bottom w:val="single" w:color="E3E0F0" w:sz="6" w:space="3"/>
        </w:pBdr>
        <w:spacing w:after="70" w:before="200"/>
      </w:pPr>
      <w:r>
        <w:rPr>
          <w:rFonts w:ascii="Arial" w:cs="Arial" w:eastAsia="Arial" w:hAnsi="Arial"/>
          <w:b/>
          <w:bCs/>
          <w:color w:val="5B4BC4"/>
          <w:sz w:val="17"/>
          <w:szCs w:val="17"/>
        </w:rPr>
        <w:t xml:space="preserve">SELECTED ENGAGEMENTS AND OUTCOMES</w:t>
      </w:r>
    </w:p>
    <w:p>
      <w:pPr>
        <w:tabs>
          <w:tab w:val="right" w:pos="9640"/>
        </w:tabs>
        <w:spacing w:after="10" w:before="110"/>
      </w:pPr>
      <w:r>
        <w:rPr>
          <w:rFonts w:ascii="Arial" w:cs="Arial" w:eastAsia="Arial" w:hAnsi="Arial"/>
          <w:b/>
          <w:bCs/>
          <w:color w:val="1A1633"/>
          <w:sz w:val="21"/>
          <w:szCs w:val="21"/>
        </w:rPr>
        <w:t xml:space="preserve">Language Kids World — Houston, TX</w:t>
      </w:r>
      <w:r>
        <w:rPr>
          <w:rFonts w:ascii="Arial" w:cs="Arial" w:eastAsia="Arial" w:hAnsi="Arial"/>
          <w:color w:val="5B5578"/>
          <w:sz w:val="18"/>
          <w:szCs w:val="18"/>
        </w:rPr>
        <w:t xml:space="preserve">	2026</w:t>
      </w:r>
    </w:p>
    <w:p>
      <w:pPr>
        <w:spacing w:after="40" w:before="0" w:line="264"/>
      </w:pPr>
      <w:r>
        <w:rPr>
          <w:rFonts w:ascii="Arial" w:cs="Arial" w:eastAsia="Arial" w:hAnsi="Arial"/>
          <w:i/>
          <w:iCs/>
          <w:color w:val="5B5578"/>
          <w:sz w:val="19"/>
          <w:szCs w:val="19"/>
        </w:rPr>
        <w:t xml:space="preserve">AI automation &amp; product partnership (consulting engagement)</w:t>
      </w:r>
    </w:p>
    <w:p>
      <w:pPr>
        <w:spacing w:after="40" w:before="0" w:line="264"/>
      </w:pPr>
      <w:r>
        <w:rPr>
          <w:rFonts w:ascii="Arial" w:cs="Arial" w:eastAsia="Arial" w:hAnsi="Arial"/>
          <w:color w:val="1A1633"/>
          <w:sz w:val="20"/>
          <w:szCs w:val="20"/>
        </w:rPr>
        <w:t xml:space="preserve">60-person language-education company (10 full-time staff, ~50 contract teachers); the founder was the single-threaded dependency for the whole delivery operation.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Arial" w:cs="Arial" w:eastAsia="Arial" w:hAnsi="Arial"/>
          <w:color w:val="1A1633"/>
          <w:sz w:val="20"/>
          <w:szCs w:val="20"/>
        </w:rPr>
        <w:t xml:space="preserve">Mapped the operation from observation, then sequenced a set of AI automations so each relieved the next — curriculum development went from weeks to hours.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Arial" w:cs="Arial" w:eastAsia="Arial" w:hAnsi="Arial"/>
          <w:color w:val="1A1633"/>
          <w:sz w:val="20"/>
          <w:szCs w:val="20"/>
        </w:rPr>
        <w:t xml:space="preserve">Found and closed a security breach in the existing systems, unprompted, before it cost anything.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Arial" w:cs="Arial" w:eastAsia="Arial" w:hAnsi="Arial"/>
          <w:color w:val="1A1633"/>
          <w:sz w:val="20"/>
          <w:szCs w:val="20"/>
        </w:rPr>
        <w:t xml:space="preserve">Turned the tools the business needed into products the industry needed: structured a royalty + service-fee partnership (STAKE) creating two new revenue lines.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Arial" w:cs="Arial" w:eastAsia="Arial" w:hAnsi="Arial"/>
          <w:color w:val="1A1633"/>
          <w:sz w:val="20"/>
          <w:szCs w:val="20"/>
        </w:rPr>
        <w:t xml:space="preserve">Outcomes: 92% less curriculum-development time; 10–15 working weeks a year returned to the founder ($28–42k/yr at the client’s loaded cost). Client reference available.</w:t>
      </w:r>
    </w:p>
    <w:p>
      <w:pPr>
        <w:tabs>
          <w:tab w:val="right" w:pos="9640"/>
        </w:tabs>
        <w:spacing w:after="10" w:before="110"/>
      </w:pPr>
      <w:r>
        <w:rPr>
          <w:rFonts w:ascii="Arial" w:cs="Arial" w:eastAsia="Arial" w:hAnsi="Arial"/>
          <w:b/>
          <w:bCs/>
          <w:color w:val="1A1633"/>
          <w:sz w:val="21"/>
          <w:szCs w:val="21"/>
        </w:rPr>
        <w:t xml:space="preserve">Aletheai — London</w:t>
      </w:r>
      <w:r>
        <w:rPr>
          <w:rFonts w:ascii="Arial" w:cs="Arial" w:eastAsia="Arial" w:hAnsi="Arial"/>
          <w:color w:val="5B5578"/>
          <w:sz w:val="18"/>
          <w:szCs w:val="18"/>
        </w:rPr>
        <w:t xml:space="preserve">	Dec 2024 – present</w:t>
      </w:r>
    </w:p>
    <w:p>
      <w:pPr>
        <w:spacing w:after="40" w:before="0" w:line="264"/>
      </w:pPr>
      <w:r>
        <w:rPr>
          <w:rFonts w:ascii="Arial" w:cs="Arial" w:eastAsia="Arial" w:hAnsi="Arial"/>
          <w:i/>
          <w:iCs/>
          <w:color w:val="5B5578"/>
          <w:sz w:val="19"/>
          <w:szCs w:val="19"/>
        </w:rPr>
        <w:t xml:space="preserve">Founder &amp; CEO · AI decision intelligence (patent-pending)</w:t>
      </w:r>
    </w:p>
    <w:p>
      <w:pPr>
        <w:spacing w:after="40" w:before="0" w:line="264"/>
      </w:pPr>
      <w:r>
        <w:rPr>
          <w:rFonts w:ascii="Arial" w:cs="Arial" w:eastAsia="Arial" w:hAnsi="Arial"/>
          <w:color w:val="1A1633"/>
          <w:sz w:val="20"/>
          <w:szCs w:val="20"/>
        </w:rPr>
        <w:t xml:space="preserve">Multi-signal behavioural prediction engine for estate agents; pilot with Alto (Zoopla Group). Incubated at AI Forge; three-time pitch finalist; Innovate UK and STFC engagement.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Arial" w:cs="Arial" w:eastAsia="Arial" w:hAnsi="Arial"/>
          <w:color w:val="1A1633"/>
          <w:sz w:val="20"/>
          <w:szCs w:val="20"/>
        </w:rPr>
        <w:t xml:space="preserve">Designed the Signal Factory architecture — connectors → normalisers → entity resolution → feature store → decision engine → narrative layer — and shipped 12+ production releases in 12 months (prediction engine, agent dashboard, synthetic-data generator, CRM API adapter).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Arial" w:cs="Arial" w:eastAsia="Arial" w:hAnsi="Arial"/>
          <w:color w:val="1A1633"/>
          <w:sz w:val="20"/>
          <w:szCs w:val="20"/>
        </w:rPr>
        <w:t xml:space="preserve">Held-out model evaluation: ROC-AUC 0.810, calibration ECE 0.029, Lift@50 2.42×. Validated ~10 hours recovered per agent per week in pilot.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Arial" w:cs="Arial" w:eastAsia="Arial" w:hAnsi="Arial"/>
          <w:color w:val="1A1633"/>
          <w:sz w:val="20"/>
          <w:szCs w:val="20"/>
        </w:rPr>
        <w:t xml:space="preserve">Owned commercial strategy end to end: pricing architecture, ARR model, data-protection and security packs, senior stakeholder engagement.</w:t>
      </w:r>
    </w:p>
    <w:p>
      <w:pPr>
        <w:tabs>
          <w:tab w:val="right" w:pos="9640"/>
        </w:tabs>
        <w:spacing w:after="10" w:before="110"/>
      </w:pPr>
      <w:r>
        <w:rPr>
          <w:rFonts w:ascii="Arial" w:cs="Arial" w:eastAsia="Arial" w:hAnsi="Arial"/>
          <w:b/>
          <w:bCs/>
          <w:color w:val="1A1633"/>
          <w:sz w:val="21"/>
          <w:szCs w:val="21"/>
        </w:rPr>
        <w:t xml:space="preserve">DiSH Creative Ltd — London</w:t>
      </w:r>
      <w:r>
        <w:rPr>
          <w:rFonts w:ascii="Arial" w:cs="Arial" w:eastAsia="Arial" w:hAnsi="Arial"/>
          <w:color w:val="5B5578"/>
          <w:sz w:val="18"/>
          <w:szCs w:val="18"/>
        </w:rPr>
        <w:t xml:space="preserve">	Apr – Dec 2024</w:t>
      </w:r>
    </w:p>
    <w:p>
      <w:pPr>
        <w:spacing w:after="40" w:before="0" w:line="264"/>
      </w:pPr>
      <w:r>
        <w:rPr>
          <w:rFonts w:ascii="Arial" w:cs="Arial" w:eastAsia="Arial" w:hAnsi="Arial"/>
          <w:i/>
          <w:iCs/>
          <w:color w:val="5B5578"/>
          <w:sz w:val="19"/>
          <w:szCs w:val="19"/>
        </w:rPr>
        <w:t xml:space="preserve">Applied-AI strategy consultant (commercial and non-profit clients)</w:t>
      </w:r>
    </w:p>
    <w:p>
      <w:pPr>
        <w:spacing w:after="40" w:before="0" w:line="264"/>
      </w:pPr>
      <w:r>
        <w:rPr>
          <w:rFonts w:ascii="Arial" w:cs="Arial" w:eastAsia="Arial" w:hAnsi="Arial"/>
          <w:color w:val="1A1633"/>
          <w:sz w:val="20"/>
          <w:szCs w:val="20"/>
        </w:rPr>
        <w:t xml:space="preserve">Applied-AI product strategy, service design and executive enablement for organisations adopting AI.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Arial" w:cs="Arial" w:eastAsia="Arial" w:hAnsi="Arial"/>
          <w:color w:val="1A1633"/>
          <w:sz w:val="20"/>
          <w:szCs w:val="20"/>
        </w:rPr>
        <w:t xml:space="preserve">Product-strategy engagements delivering up to 60% operational-efficiency gains and 25% uplift in user engagement.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Arial" w:cs="Arial" w:eastAsia="Arial" w:hAnsi="Arial"/>
          <w:color w:val="1A1633"/>
          <w:sz w:val="20"/>
          <w:szCs w:val="20"/>
        </w:rPr>
        <w:t xml:space="preserve">Designed automation frameworks combining rules, model-driven assistance and human oversight — manual workflows cut ~40%, operating costs down up to 35%.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Arial" w:cs="Arial" w:eastAsia="Arial" w:hAnsi="Arial"/>
          <w:color w:val="1A1633"/>
          <w:sz w:val="20"/>
          <w:szCs w:val="20"/>
        </w:rPr>
        <w:t xml:space="preserve">Ran executive and board workshops for AI use-case prioritisation and commercial alignment; built impact-measurement strategies for NGOs’ funding narratives.</w:t>
      </w:r>
    </w:p>
    <w:p>
      <w:pPr>
        <w:tabs>
          <w:tab w:val="right" w:pos="9640"/>
        </w:tabs>
        <w:spacing w:after="10" w:before="110"/>
      </w:pPr>
      <w:r>
        <w:rPr>
          <w:rFonts w:ascii="Arial" w:cs="Arial" w:eastAsia="Arial" w:hAnsi="Arial"/>
          <w:b/>
          <w:bCs/>
          <w:color w:val="1A1633"/>
          <w:sz w:val="21"/>
          <w:szCs w:val="21"/>
        </w:rPr>
        <w:t xml:space="preserve">Slimming World — Derbyshire, UK</w:t>
      </w:r>
      <w:r>
        <w:rPr>
          <w:rFonts w:ascii="Arial" w:cs="Arial" w:eastAsia="Arial" w:hAnsi="Arial"/>
          <w:color w:val="5B5578"/>
          <w:sz w:val="18"/>
          <w:szCs w:val="18"/>
        </w:rPr>
        <w:t xml:space="preserve">	2019 – 2024</w:t>
      </w:r>
    </w:p>
    <w:p>
      <w:pPr>
        <w:spacing w:after="40" w:before="0" w:line="264"/>
      </w:pPr>
      <w:r>
        <w:rPr>
          <w:rFonts w:ascii="Arial" w:cs="Arial" w:eastAsia="Arial" w:hAnsi="Arial"/>
          <w:i/>
          <w:iCs/>
          <w:color w:val="5B5578"/>
          <w:sz w:val="19"/>
          <w:szCs w:val="19"/>
        </w:rPr>
        <w:t xml:space="preserve">Principal UX Strategist · Design Department Manager</w:t>
      </w:r>
    </w:p>
    <w:p>
      <w:pPr>
        <w:spacing w:after="40" w:before="0" w:line="264"/>
      </w:pPr>
      <w:r>
        <w:rPr>
          <w:rFonts w:ascii="Arial" w:cs="Arial" w:eastAsia="Arial" w:hAnsi="Arial"/>
          <w:color w:val="1A1633"/>
          <w:sz w:val="20"/>
          <w:szCs w:val="20"/>
        </w:rPr>
        <w:t xml:space="preserve">One of the UK’s largest health platforms (250,000+ active members, 1.5M+ annual content readers).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Arial" w:cs="Arial" w:eastAsia="Arial" w:hAnsi="Arial"/>
          <w:color w:val="1A1633"/>
          <w:sz w:val="20"/>
          <w:szCs w:val="20"/>
        </w:rPr>
        <w:t xml:space="preserve">Managed a team of 12 UX, UI and service designers; introduced a company-wide modular design system and unified web and mobile experience.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Arial" w:cs="Arial" w:eastAsia="Arial" w:hAnsi="Arial"/>
          <w:color w:val="1A1633"/>
          <w:sz w:val="20"/>
          <w:szCs w:val="20"/>
        </w:rPr>
        <w:t xml:space="preserve">Authored the UX Strategy &amp; Discovery training programme — external training spend down 45%, designer onboarding time down 70%.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Arial" w:cs="Arial" w:eastAsia="Arial" w:hAnsi="Arial"/>
          <w:color w:val="1A1633"/>
          <w:sz w:val="20"/>
          <w:szCs w:val="20"/>
        </w:rPr>
        <w:t xml:space="preserve">Led the company’s digital North Star strategy across product, marketing and leadership; launched the content platform.</w:t>
      </w:r>
    </w:p>
    <w:p>
      <w:pPr>
        <w:pBdr>
          <w:bottom w:val="single" w:color="E3E0F0" w:sz="6" w:space="3"/>
        </w:pBdr>
        <w:spacing w:after="70" w:before="200"/>
      </w:pPr>
      <w:r>
        <w:rPr>
          <w:rFonts w:ascii="Arial" w:cs="Arial" w:eastAsia="Arial" w:hAnsi="Arial"/>
          <w:b/>
          <w:bCs/>
          <w:color w:val="5B4BC4"/>
          <w:sz w:val="17"/>
          <w:szCs w:val="17"/>
        </w:rPr>
        <w:t xml:space="preserve">EARLIER</w:t>
      </w:r>
    </w:p>
    <w:p>
      <w:pPr>
        <w:spacing w:after="50" w:before="0" w:line="264"/>
      </w:pPr>
      <w:r>
        <w:rPr>
          <w:rFonts w:ascii="Arial" w:cs="Arial" w:eastAsia="Arial" w:hAnsi="Arial"/>
          <w:b/>
          <w:bCs/>
          <w:color w:val="1A1633"/>
          <w:sz w:val="20"/>
          <w:szCs w:val="20"/>
        </w:rPr>
        <w:t xml:space="preserve">Nottingham Trent University</w:t>
      </w:r>
      <w:r>
        <w:rPr>
          <w:rFonts w:ascii="Arial" w:cs="Arial" w:eastAsia="Arial" w:hAnsi="Arial"/>
          <w:color w:val="5B5578"/>
          <w:sz w:val="20"/>
          <w:szCs w:val="20"/>
        </w:rPr>
        <w:t xml:space="preserve"> — Senior Lecturer, Product Design (2017–19). </w:t>
      </w:r>
      <w:r>
        <w:rPr>
          <w:rFonts w:ascii="Arial" w:cs="Arial" w:eastAsia="Arial" w:hAnsi="Arial"/>
          <w:color w:val="1A1633"/>
          <w:sz w:val="20"/>
          <w:szCs w:val="20"/>
        </w:rPr>
        <w:t xml:space="preserve">Led the first-year BSc programme (100+ students); embedded coding, electronics and commercial thinking; BBC micro:bit and ROLI partnerships.</w:t>
      </w:r>
    </w:p>
    <w:p>
      <w:pPr>
        <w:spacing w:after="50" w:before="0" w:line="264"/>
      </w:pPr>
      <w:r>
        <w:rPr>
          <w:rFonts w:ascii="Arial" w:cs="Arial" w:eastAsia="Arial" w:hAnsi="Arial"/>
          <w:b/>
          <w:bCs/>
          <w:color w:val="1A1633"/>
          <w:sz w:val="20"/>
          <w:szCs w:val="20"/>
        </w:rPr>
        <w:t xml:space="preserve">Shake Your Power CIC</w:t>
      </w:r>
      <w:r>
        <w:rPr>
          <w:rFonts w:ascii="Arial" w:cs="Arial" w:eastAsia="Arial" w:hAnsi="Arial"/>
          <w:color w:val="5B5578"/>
          <w:sz w:val="20"/>
          <w:szCs w:val="20"/>
        </w:rPr>
        <w:t xml:space="preserve"> — Co-founder &amp; Chief Product Officer (2014–17). </w:t>
      </w:r>
      <w:r>
        <w:rPr>
          <w:rFonts w:ascii="Arial" w:cs="Arial" w:eastAsia="Arial" w:hAnsi="Arial"/>
          <w:color w:val="1A1633"/>
          <w:sz w:val="20"/>
          <w:szCs w:val="20"/>
        </w:rPr>
        <w:t xml:space="preserve">US patent (SPARK, the first energy-generating musical instrument); two London Design Award Golds; STEM pilots in the UK, US and India; manufacturing in Shenzhen.</w:t>
      </w:r>
    </w:p>
    <w:p>
      <w:pPr>
        <w:spacing w:after="50" w:before="0" w:line="264"/>
      </w:pPr>
      <w:r>
        <w:rPr>
          <w:rFonts w:ascii="Arial" w:cs="Arial" w:eastAsia="Arial" w:hAnsi="Arial"/>
          <w:b/>
          <w:bCs/>
          <w:color w:val="1A1633"/>
          <w:sz w:val="20"/>
          <w:szCs w:val="20"/>
        </w:rPr>
        <w:t xml:space="preserve">Monogram Publishers</w:t>
      </w:r>
      <w:r>
        <w:rPr>
          <w:rFonts w:ascii="Arial" w:cs="Arial" w:eastAsia="Arial" w:hAnsi="Arial"/>
          <w:color w:val="5B5578"/>
          <w:sz w:val="20"/>
          <w:szCs w:val="20"/>
        </w:rPr>
        <w:t xml:space="preserve"> — Founder (2014–present). </w:t>
      </w:r>
      <w:r>
        <w:rPr>
          <w:rFonts w:ascii="Arial" w:cs="Arial" w:eastAsia="Arial" w:hAnsi="Arial"/>
          <w:color w:val="1A1633"/>
          <w:sz w:val="20"/>
          <w:szCs w:val="20"/>
        </w:rPr>
        <w:t xml:space="preserve">Independent publishing house for the creator-entrepreneur economy; author of The Art of Getting Stuff Done (2022); host of the Stand Out podcast.</w:t>
      </w:r>
    </w:p>
    <w:p>
      <w:pPr>
        <w:pBdr>
          <w:bottom w:val="single" w:color="E3E0F0" w:sz="6" w:space="3"/>
        </w:pBdr>
        <w:spacing w:after="70" w:before="200"/>
      </w:pPr>
      <w:r>
        <w:rPr>
          <w:rFonts w:ascii="Arial" w:cs="Arial" w:eastAsia="Arial" w:hAnsi="Arial"/>
          <w:b/>
          <w:bCs/>
          <w:color w:val="5B4BC4"/>
          <w:sz w:val="17"/>
          <w:szCs w:val="17"/>
        </w:rPr>
        <w:t xml:space="preserve">METHODS, PRACTICE AND TOOLING</w:t>
      </w:r>
    </w:p>
    <w:p>
      <w:pPr>
        <w:spacing w:after="50" w:line="259"/>
        <w:ind w:left="0"/>
      </w:pPr>
      <w:r>
        <w:rPr>
          <w:rFonts w:ascii="Arial" w:cs="Arial" w:eastAsia="Arial" w:hAnsi="Arial"/>
          <w:b/>
          <w:bCs/>
          <w:color w:val="1A1633"/>
          <w:sz w:val="20"/>
          <w:szCs w:val="20"/>
        </w:rPr>
        <w:t xml:space="preserve">Published methods:  </w:t>
      </w:r>
      <w:r>
        <w:rPr>
          <w:rFonts w:ascii="Arial" w:cs="Arial" w:eastAsia="Arial" w:hAnsi="Arial"/>
          <w:color w:val="1A1633"/>
          <w:sz w:val="20"/>
          <w:szCs w:val="20"/>
        </w:rPr>
        <w:t xml:space="preserve">LEVER (decision diagnostics) · RECALL (retrieval and corpus readiness) · STAKE (product partnerships) — frameworks.dianasimpsonhernandez.com</w:t>
      </w:r>
    </w:p>
    <w:p>
      <w:pPr>
        <w:spacing w:after="50" w:line="259"/>
        <w:ind w:left="0"/>
      </w:pPr>
      <w:r>
        <w:rPr>
          <w:rFonts w:ascii="Arial" w:cs="Arial" w:eastAsia="Arial" w:hAnsi="Arial"/>
          <w:b/>
          <w:bCs/>
          <w:color w:val="1A1633"/>
          <w:sz w:val="20"/>
          <w:szCs w:val="20"/>
        </w:rPr>
        <w:t xml:space="preserve">Practice:  </w:t>
      </w:r>
      <w:r>
        <w:rPr>
          <w:rFonts w:ascii="Arial" w:cs="Arial" w:eastAsia="Arial" w:hAnsi="Arial"/>
          <w:color w:val="1A1633"/>
          <w:sz w:val="20"/>
          <w:szCs w:val="20"/>
        </w:rPr>
        <w:t xml:space="preserve">Product discovery · service blueprinting · decision-level ROI modelling · build/buy/leave assessment · pilot design · AI governance (DPIA, model evaluation, gold sets) · workshop design and executive enablement · Certified Scrum Master</w:t>
      </w:r>
    </w:p>
    <w:p>
      <w:pPr>
        <w:spacing w:after="50" w:line="259"/>
        <w:ind w:left="0"/>
      </w:pPr>
      <w:r>
        <w:rPr>
          <w:rFonts w:ascii="Arial" w:cs="Arial" w:eastAsia="Arial" w:hAnsi="Arial"/>
          <w:b/>
          <w:bCs/>
          <w:color w:val="1A1633"/>
          <w:sz w:val="20"/>
          <w:szCs w:val="20"/>
        </w:rPr>
        <w:t xml:space="preserve">Technical:  </w:t>
      </w:r>
      <w:r>
        <w:rPr>
          <w:rFonts w:ascii="Arial" w:cs="Arial" w:eastAsia="Arial" w:hAnsi="Arial"/>
          <w:color w:val="1A1633"/>
          <w:sz w:val="20"/>
          <w:szCs w:val="20"/>
        </w:rPr>
        <w:t xml:space="preserve">Python · Streamlit · LLM and RAG pipelines (Claude, OpenAI, Mistral APIs) · feature stores · model evaluation (calibration, lift, drift) · Railway and Streamlit Cloud deployment · Git/GitHub</w:t>
      </w:r>
    </w:p>
    <w:p>
      <w:pPr>
        <w:pBdr>
          <w:bottom w:val="single" w:color="E3E0F0" w:sz="6" w:space="3"/>
        </w:pBdr>
        <w:spacing w:after="70" w:before="200"/>
      </w:pPr>
      <w:r>
        <w:rPr>
          <w:rFonts w:ascii="Arial" w:cs="Arial" w:eastAsia="Arial" w:hAnsi="Arial"/>
          <w:b/>
          <w:bCs/>
          <w:color w:val="5B4BC4"/>
          <w:sz w:val="17"/>
          <w:szCs w:val="17"/>
        </w:rPr>
        <w:t xml:space="preserve">EDUCATION, AFFILIATIONS, LANGUAGES</w:t>
      </w:r>
    </w:p>
    <w:p>
      <w:pPr>
        <w:spacing w:after="50" w:line="259"/>
        <w:ind w:left="0"/>
      </w:pPr>
      <w:r>
        <w:rPr>
          <w:rFonts w:ascii="Arial" w:cs="Arial" w:eastAsia="Arial" w:hAnsi="Arial"/>
          <w:b/>
          <w:bCs/>
          <w:color w:val="1A1633"/>
          <w:sz w:val="20"/>
          <w:szCs w:val="20"/>
        </w:rPr>
        <w:t xml:space="preserve">Education:  </w:t>
      </w:r>
      <w:r>
        <w:rPr>
          <w:rFonts w:ascii="Arial" w:cs="Arial" w:eastAsia="Arial" w:hAnsi="Arial"/>
          <w:color w:val="1A1633"/>
          <w:sz w:val="20"/>
          <w:szCs w:val="20"/>
        </w:rPr>
        <w:t xml:space="preserve">MA Design Products, Royal College of Art · BA Product Design, Central Saint Martins (UAL) · MIT xPRO, Designing &amp; Building AI Products and Services (2024) · IDEO U, Service Design (2022) · Oxford Saïd, FinTech (2019) · ILM Level 3 Leadership</w:t>
      </w:r>
    </w:p>
    <w:p>
      <w:pPr>
        <w:spacing w:after="50" w:line="259"/>
        <w:ind w:left="0"/>
      </w:pPr>
      <w:r>
        <w:rPr>
          <w:rFonts w:ascii="Arial" w:cs="Arial" w:eastAsia="Arial" w:hAnsi="Arial"/>
          <w:b/>
          <w:bCs/>
          <w:color w:val="1A1633"/>
          <w:sz w:val="20"/>
          <w:szCs w:val="20"/>
        </w:rPr>
        <w:t xml:space="preserve">Affiliations:  </w:t>
      </w:r>
      <w:r>
        <w:rPr>
          <w:rFonts w:ascii="Arial" w:cs="Arial" w:eastAsia="Arial" w:hAnsi="Arial"/>
          <w:color w:val="1A1633"/>
          <w:sz w:val="20"/>
          <w:szCs w:val="20"/>
        </w:rPr>
        <w:t xml:space="preserve">FRSA (Royal Society of Arts) · AFHEA (Advance HE) · Lecturer, IED Madrid · Mentor and venture coach, LCC (UAL) · Judge, LCC Accelerate 2026 · Education Ambassador, CREATE</w:t>
      </w:r>
    </w:p>
    <w:p>
      <w:pPr>
        <w:spacing w:after="50" w:line="259"/>
        <w:ind w:left="0"/>
      </w:pPr>
      <w:r>
        <w:rPr>
          <w:rFonts w:ascii="Arial" w:cs="Arial" w:eastAsia="Arial" w:hAnsi="Arial"/>
          <w:b/>
          <w:bCs/>
          <w:color w:val="1A1633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1A1633"/>
          <w:sz w:val="20"/>
          <w:szCs w:val="20"/>
        </w:rPr>
        <w:t xml:space="preserve">English and Spanish (fluent) · Italian (working knowledge)</w:t>
      </w:r>
    </w:p>
    <w:sectPr>
      <w:pgSz w:w="11906" w:h="16838" w:orient="portrait"/>
      <w:pgMar w:top="90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6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Diana Simpson-Hernandez — Contract CV</dc:title>
  <dc:creator>Diana Simpson-Hernandez</dc:creator>
  <cp:lastModifiedBy>Un-named</cp:lastModifiedBy>
  <cp:revision>1</cp:revision>
  <dcterms:created xsi:type="dcterms:W3CDTF">2026-09-20T10:40:25.023Z</dcterms:created>
  <dcterms:modified xsi:type="dcterms:W3CDTF">2026-09-20T10:40:25.026Z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