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37463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8D59A1"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369208" w:history="1">
            <w:r w:rsidR="008D59A1" w:rsidRPr="00DF590D">
              <w:rPr>
                <w:rStyle w:val="Hyperlink"/>
                <w:b/>
                <w:noProof/>
              </w:rPr>
              <w:t>I.</w:t>
            </w:r>
            <w:r w:rsidR="008D59A1">
              <w:rPr>
                <w:rFonts w:eastAsiaTheme="minorEastAsia"/>
                <w:noProof/>
              </w:rPr>
              <w:tab/>
            </w:r>
            <w:r w:rsidR="008D59A1" w:rsidRPr="00DF590D">
              <w:rPr>
                <w:rStyle w:val="Hyperlink"/>
                <w:b/>
                <w:noProof/>
              </w:rPr>
              <w:t>Introduction</w:t>
            </w:r>
            <w:r w:rsidR="008D59A1">
              <w:rPr>
                <w:noProof/>
                <w:webHidden/>
              </w:rPr>
              <w:tab/>
            </w:r>
            <w:r w:rsidR="008D59A1">
              <w:rPr>
                <w:noProof/>
                <w:webHidden/>
              </w:rPr>
              <w:fldChar w:fldCharType="begin"/>
            </w:r>
            <w:r w:rsidR="008D59A1">
              <w:rPr>
                <w:noProof/>
                <w:webHidden/>
              </w:rPr>
              <w:instrText xml:space="preserve"> PAGEREF _Toc43369208 \h </w:instrText>
            </w:r>
            <w:r w:rsidR="008D59A1">
              <w:rPr>
                <w:noProof/>
                <w:webHidden/>
              </w:rPr>
            </w:r>
            <w:r w:rsidR="008D59A1">
              <w:rPr>
                <w:noProof/>
                <w:webHidden/>
              </w:rPr>
              <w:fldChar w:fldCharType="separate"/>
            </w:r>
            <w:r w:rsidR="008D59A1">
              <w:rPr>
                <w:noProof/>
                <w:webHidden/>
              </w:rPr>
              <w:t>2</w:t>
            </w:r>
            <w:r w:rsidR="008D59A1">
              <w:rPr>
                <w:noProof/>
                <w:webHidden/>
              </w:rPr>
              <w:fldChar w:fldCharType="end"/>
            </w:r>
          </w:hyperlink>
        </w:p>
        <w:p w:rsidR="008D59A1" w:rsidRDefault="00FD6437">
          <w:pPr>
            <w:pStyle w:val="TOC1"/>
            <w:tabs>
              <w:tab w:val="left" w:pos="440"/>
              <w:tab w:val="right" w:leader="dot" w:pos="9017"/>
            </w:tabs>
            <w:rPr>
              <w:rFonts w:eastAsiaTheme="minorEastAsia"/>
              <w:noProof/>
            </w:rPr>
          </w:pPr>
          <w:hyperlink w:anchor="_Toc43369209" w:history="1">
            <w:r w:rsidR="008D59A1" w:rsidRPr="00DF590D">
              <w:rPr>
                <w:rStyle w:val="Hyperlink"/>
                <w:b/>
                <w:noProof/>
              </w:rPr>
              <w:t>II.</w:t>
            </w:r>
            <w:r w:rsidR="008D59A1">
              <w:rPr>
                <w:rFonts w:eastAsiaTheme="minorEastAsia"/>
                <w:noProof/>
              </w:rPr>
              <w:tab/>
            </w:r>
            <w:r w:rsidR="008D59A1" w:rsidRPr="00DF590D">
              <w:rPr>
                <w:rStyle w:val="Hyperlink"/>
                <w:b/>
                <w:noProof/>
              </w:rPr>
              <w:t>II. Literature review</w:t>
            </w:r>
            <w:r w:rsidR="008D59A1">
              <w:rPr>
                <w:noProof/>
                <w:webHidden/>
              </w:rPr>
              <w:tab/>
            </w:r>
            <w:r w:rsidR="008D59A1">
              <w:rPr>
                <w:noProof/>
                <w:webHidden/>
              </w:rPr>
              <w:fldChar w:fldCharType="begin"/>
            </w:r>
            <w:r w:rsidR="008D59A1">
              <w:rPr>
                <w:noProof/>
                <w:webHidden/>
              </w:rPr>
              <w:instrText xml:space="preserve"> PAGEREF _Toc43369209 \h </w:instrText>
            </w:r>
            <w:r w:rsidR="008D59A1">
              <w:rPr>
                <w:noProof/>
                <w:webHidden/>
              </w:rPr>
            </w:r>
            <w:r w:rsidR="008D59A1">
              <w:rPr>
                <w:noProof/>
                <w:webHidden/>
              </w:rPr>
              <w:fldChar w:fldCharType="separate"/>
            </w:r>
            <w:r w:rsidR="008D59A1">
              <w:rPr>
                <w:noProof/>
                <w:webHidden/>
              </w:rPr>
              <w:t>2</w:t>
            </w:r>
            <w:r w:rsidR="008D59A1">
              <w:rPr>
                <w:noProof/>
                <w:webHidden/>
              </w:rPr>
              <w:fldChar w:fldCharType="end"/>
            </w:r>
          </w:hyperlink>
        </w:p>
        <w:p w:rsidR="008D59A1" w:rsidRDefault="00FD6437">
          <w:pPr>
            <w:pStyle w:val="TOC1"/>
            <w:tabs>
              <w:tab w:val="right" w:leader="dot" w:pos="9017"/>
            </w:tabs>
            <w:rPr>
              <w:rFonts w:eastAsiaTheme="minorEastAsia"/>
              <w:noProof/>
            </w:rPr>
          </w:pPr>
          <w:hyperlink w:anchor="_Toc43369210" w:history="1">
            <w:r w:rsidR="008D59A1" w:rsidRPr="00DF590D">
              <w:rPr>
                <w:rStyle w:val="Hyperlink"/>
                <w:b/>
                <w:noProof/>
              </w:rPr>
              <w:t>III. Methodology</w:t>
            </w:r>
            <w:r w:rsidR="008D59A1">
              <w:rPr>
                <w:noProof/>
                <w:webHidden/>
              </w:rPr>
              <w:tab/>
            </w:r>
            <w:r w:rsidR="008D59A1">
              <w:rPr>
                <w:noProof/>
                <w:webHidden/>
              </w:rPr>
              <w:fldChar w:fldCharType="begin"/>
            </w:r>
            <w:r w:rsidR="008D59A1">
              <w:rPr>
                <w:noProof/>
                <w:webHidden/>
              </w:rPr>
              <w:instrText xml:space="preserve"> PAGEREF _Toc43369210 \h </w:instrText>
            </w:r>
            <w:r w:rsidR="008D59A1">
              <w:rPr>
                <w:noProof/>
                <w:webHidden/>
              </w:rPr>
            </w:r>
            <w:r w:rsidR="008D59A1">
              <w:rPr>
                <w:noProof/>
                <w:webHidden/>
              </w:rPr>
              <w:fldChar w:fldCharType="separate"/>
            </w:r>
            <w:r w:rsidR="008D59A1">
              <w:rPr>
                <w:noProof/>
                <w:webHidden/>
              </w:rPr>
              <w:t>3</w:t>
            </w:r>
            <w:r w:rsidR="008D59A1">
              <w:rPr>
                <w:noProof/>
                <w:webHidden/>
              </w:rPr>
              <w:fldChar w:fldCharType="end"/>
            </w:r>
          </w:hyperlink>
        </w:p>
        <w:p w:rsidR="008D59A1" w:rsidRDefault="00FD6437">
          <w:pPr>
            <w:pStyle w:val="TOC1"/>
            <w:tabs>
              <w:tab w:val="left" w:pos="660"/>
              <w:tab w:val="right" w:leader="dot" w:pos="9017"/>
            </w:tabs>
            <w:rPr>
              <w:rFonts w:eastAsiaTheme="minorEastAsia"/>
              <w:noProof/>
            </w:rPr>
          </w:pPr>
          <w:hyperlink w:anchor="_Toc43369211" w:history="1">
            <w:r w:rsidR="008D59A1" w:rsidRPr="00DF590D">
              <w:rPr>
                <w:rStyle w:val="Hyperlink"/>
                <w:b/>
                <w:noProof/>
              </w:rPr>
              <w:t>III.</w:t>
            </w:r>
            <w:r w:rsidR="008D59A1">
              <w:rPr>
                <w:rFonts w:eastAsiaTheme="minorEastAsia"/>
                <w:noProof/>
              </w:rPr>
              <w:tab/>
            </w:r>
            <w:r w:rsidR="008D59A1" w:rsidRPr="00DF590D">
              <w:rPr>
                <w:rStyle w:val="Hyperlink"/>
                <w:b/>
                <w:noProof/>
              </w:rPr>
              <w:t>Analysis and result and discussion</w:t>
            </w:r>
            <w:r w:rsidR="008D59A1">
              <w:rPr>
                <w:noProof/>
                <w:webHidden/>
              </w:rPr>
              <w:tab/>
            </w:r>
            <w:r w:rsidR="008D59A1">
              <w:rPr>
                <w:noProof/>
                <w:webHidden/>
              </w:rPr>
              <w:fldChar w:fldCharType="begin"/>
            </w:r>
            <w:r w:rsidR="008D59A1">
              <w:rPr>
                <w:noProof/>
                <w:webHidden/>
              </w:rPr>
              <w:instrText xml:space="preserve"> PAGEREF _Toc43369211 \h </w:instrText>
            </w:r>
            <w:r w:rsidR="008D59A1">
              <w:rPr>
                <w:noProof/>
                <w:webHidden/>
              </w:rPr>
            </w:r>
            <w:r w:rsidR="008D59A1">
              <w:rPr>
                <w:noProof/>
                <w:webHidden/>
              </w:rPr>
              <w:fldChar w:fldCharType="separate"/>
            </w:r>
            <w:r w:rsidR="008D59A1">
              <w:rPr>
                <w:noProof/>
                <w:webHidden/>
              </w:rPr>
              <w:t>4</w:t>
            </w:r>
            <w:r w:rsidR="008D59A1">
              <w:rPr>
                <w:noProof/>
                <w:webHidden/>
              </w:rPr>
              <w:fldChar w:fldCharType="end"/>
            </w:r>
          </w:hyperlink>
        </w:p>
        <w:p w:rsidR="008D59A1" w:rsidRDefault="00FD6437">
          <w:pPr>
            <w:pStyle w:val="TOC2"/>
            <w:tabs>
              <w:tab w:val="left" w:pos="660"/>
              <w:tab w:val="right" w:leader="dot" w:pos="9017"/>
            </w:tabs>
            <w:rPr>
              <w:rFonts w:eastAsiaTheme="minorEastAsia"/>
              <w:noProof/>
            </w:rPr>
          </w:pPr>
          <w:hyperlink w:anchor="_Toc43369212" w:history="1">
            <w:r w:rsidR="008D59A1" w:rsidRPr="00DF590D">
              <w:rPr>
                <w:rStyle w:val="Hyperlink"/>
                <w:noProof/>
              </w:rPr>
              <w:t>A.</w:t>
            </w:r>
            <w:r w:rsidR="008D59A1">
              <w:rPr>
                <w:rFonts w:eastAsiaTheme="minorEastAsia"/>
                <w:noProof/>
              </w:rPr>
              <w:tab/>
            </w:r>
            <w:r w:rsidR="008D59A1" w:rsidRPr="00DF590D">
              <w:rPr>
                <w:rStyle w:val="Hyperlink"/>
                <w:b/>
                <w:bCs/>
                <w:noProof/>
              </w:rPr>
              <w:t>Job creation</w:t>
            </w:r>
            <w:r w:rsidR="008D59A1">
              <w:rPr>
                <w:noProof/>
                <w:webHidden/>
              </w:rPr>
              <w:tab/>
            </w:r>
            <w:r w:rsidR="008D59A1">
              <w:rPr>
                <w:noProof/>
                <w:webHidden/>
              </w:rPr>
              <w:fldChar w:fldCharType="begin"/>
            </w:r>
            <w:r w:rsidR="008D59A1">
              <w:rPr>
                <w:noProof/>
                <w:webHidden/>
              </w:rPr>
              <w:instrText xml:space="preserve"> PAGEREF _Toc43369212 \h </w:instrText>
            </w:r>
            <w:r w:rsidR="008D59A1">
              <w:rPr>
                <w:noProof/>
                <w:webHidden/>
              </w:rPr>
            </w:r>
            <w:r w:rsidR="008D59A1">
              <w:rPr>
                <w:noProof/>
                <w:webHidden/>
              </w:rPr>
              <w:fldChar w:fldCharType="separate"/>
            </w:r>
            <w:r w:rsidR="008D59A1">
              <w:rPr>
                <w:noProof/>
                <w:webHidden/>
              </w:rPr>
              <w:t>4</w:t>
            </w:r>
            <w:r w:rsidR="008D59A1">
              <w:rPr>
                <w:noProof/>
                <w:webHidden/>
              </w:rPr>
              <w:fldChar w:fldCharType="end"/>
            </w:r>
          </w:hyperlink>
        </w:p>
        <w:p w:rsidR="008D59A1" w:rsidRDefault="00FD6437">
          <w:pPr>
            <w:pStyle w:val="TOC2"/>
            <w:tabs>
              <w:tab w:val="left" w:pos="660"/>
              <w:tab w:val="right" w:leader="dot" w:pos="9017"/>
            </w:tabs>
            <w:rPr>
              <w:rFonts w:eastAsiaTheme="minorEastAsia"/>
              <w:noProof/>
            </w:rPr>
          </w:pPr>
          <w:hyperlink w:anchor="_Toc43369213" w:history="1">
            <w:r w:rsidR="008D59A1" w:rsidRPr="00DF590D">
              <w:rPr>
                <w:rStyle w:val="Hyperlink"/>
                <w:b/>
                <w:bCs/>
                <w:noProof/>
              </w:rPr>
              <w:t>B.</w:t>
            </w:r>
            <w:r w:rsidR="008D59A1">
              <w:rPr>
                <w:rFonts w:eastAsiaTheme="minorEastAsia"/>
                <w:noProof/>
              </w:rPr>
              <w:tab/>
            </w:r>
            <w:r w:rsidR="008D59A1" w:rsidRPr="00DF590D">
              <w:rPr>
                <w:rStyle w:val="Hyperlink"/>
                <w:b/>
                <w:bCs/>
                <w:noProof/>
              </w:rPr>
              <w:t>Innovation</w:t>
            </w:r>
            <w:r w:rsidR="008D59A1">
              <w:rPr>
                <w:noProof/>
                <w:webHidden/>
              </w:rPr>
              <w:tab/>
            </w:r>
            <w:r w:rsidR="008D59A1">
              <w:rPr>
                <w:noProof/>
                <w:webHidden/>
              </w:rPr>
              <w:fldChar w:fldCharType="begin"/>
            </w:r>
            <w:r w:rsidR="008D59A1">
              <w:rPr>
                <w:noProof/>
                <w:webHidden/>
              </w:rPr>
              <w:instrText xml:space="preserve"> PAGEREF _Toc43369213 \h </w:instrText>
            </w:r>
            <w:r w:rsidR="008D59A1">
              <w:rPr>
                <w:noProof/>
                <w:webHidden/>
              </w:rPr>
            </w:r>
            <w:r w:rsidR="008D59A1">
              <w:rPr>
                <w:noProof/>
                <w:webHidden/>
              </w:rPr>
              <w:fldChar w:fldCharType="separate"/>
            </w:r>
            <w:r w:rsidR="008D59A1">
              <w:rPr>
                <w:noProof/>
                <w:webHidden/>
              </w:rPr>
              <w:t>5</w:t>
            </w:r>
            <w:r w:rsidR="008D59A1">
              <w:rPr>
                <w:noProof/>
                <w:webHidden/>
              </w:rPr>
              <w:fldChar w:fldCharType="end"/>
            </w:r>
          </w:hyperlink>
        </w:p>
        <w:p w:rsidR="008D59A1" w:rsidRDefault="00FD6437">
          <w:pPr>
            <w:pStyle w:val="TOC2"/>
            <w:tabs>
              <w:tab w:val="left" w:pos="660"/>
              <w:tab w:val="right" w:leader="dot" w:pos="9017"/>
            </w:tabs>
            <w:rPr>
              <w:rFonts w:eastAsiaTheme="minorEastAsia"/>
              <w:noProof/>
            </w:rPr>
          </w:pPr>
          <w:hyperlink w:anchor="_Toc43369214" w:history="1">
            <w:r w:rsidR="008D59A1" w:rsidRPr="00DF590D">
              <w:rPr>
                <w:rStyle w:val="Hyperlink"/>
                <w:b/>
                <w:bCs/>
                <w:noProof/>
              </w:rPr>
              <w:t>C.</w:t>
            </w:r>
            <w:r w:rsidR="008D59A1">
              <w:rPr>
                <w:rFonts w:eastAsiaTheme="minorEastAsia"/>
                <w:noProof/>
              </w:rPr>
              <w:tab/>
            </w:r>
            <w:r w:rsidR="008D59A1" w:rsidRPr="00DF590D">
              <w:rPr>
                <w:rStyle w:val="Hyperlink"/>
                <w:b/>
                <w:bCs/>
                <w:noProof/>
              </w:rPr>
              <w:t>Business in service sector</w:t>
            </w:r>
            <w:r w:rsidR="008D59A1">
              <w:rPr>
                <w:noProof/>
                <w:webHidden/>
              </w:rPr>
              <w:tab/>
            </w:r>
            <w:r w:rsidR="008D59A1">
              <w:rPr>
                <w:noProof/>
                <w:webHidden/>
              </w:rPr>
              <w:fldChar w:fldCharType="begin"/>
            </w:r>
            <w:r w:rsidR="008D59A1">
              <w:rPr>
                <w:noProof/>
                <w:webHidden/>
              </w:rPr>
              <w:instrText xml:space="preserve"> PAGEREF _Toc43369214 \h </w:instrText>
            </w:r>
            <w:r w:rsidR="008D59A1">
              <w:rPr>
                <w:noProof/>
                <w:webHidden/>
              </w:rPr>
            </w:r>
            <w:r w:rsidR="008D59A1">
              <w:rPr>
                <w:noProof/>
                <w:webHidden/>
              </w:rPr>
              <w:fldChar w:fldCharType="separate"/>
            </w:r>
            <w:r w:rsidR="008D59A1">
              <w:rPr>
                <w:noProof/>
                <w:webHidden/>
              </w:rPr>
              <w:t>5</w:t>
            </w:r>
            <w:r w:rsidR="008D59A1">
              <w:rPr>
                <w:noProof/>
                <w:webHidden/>
              </w:rPr>
              <w:fldChar w:fldCharType="end"/>
            </w:r>
          </w:hyperlink>
        </w:p>
        <w:p w:rsidR="008D59A1" w:rsidRDefault="00FD6437">
          <w:pPr>
            <w:pStyle w:val="TOC1"/>
            <w:tabs>
              <w:tab w:val="left" w:pos="660"/>
              <w:tab w:val="right" w:leader="dot" w:pos="9017"/>
            </w:tabs>
            <w:rPr>
              <w:rFonts w:eastAsiaTheme="minorEastAsia"/>
              <w:noProof/>
            </w:rPr>
          </w:pPr>
          <w:hyperlink w:anchor="_Toc43369215" w:history="1">
            <w:r w:rsidR="008D59A1" w:rsidRPr="00DF590D">
              <w:rPr>
                <w:rStyle w:val="Hyperlink"/>
                <w:b/>
                <w:noProof/>
              </w:rPr>
              <w:t>IV.</w:t>
            </w:r>
            <w:r w:rsidR="008D59A1">
              <w:rPr>
                <w:rFonts w:eastAsiaTheme="minorEastAsia"/>
                <w:noProof/>
              </w:rPr>
              <w:tab/>
            </w:r>
            <w:r w:rsidR="008D59A1" w:rsidRPr="00DF590D">
              <w:rPr>
                <w:rStyle w:val="Hyperlink"/>
                <w:b/>
                <w:noProof/>
              </w:rPr>
              <w:t>Conclusion and Recommendations</w:t>
            </w:r>
            <w:r w:rsidR="008D59A1">
              <w:rPr>
                <w:noProof/>
                <w:webHidden/>
              </w:rPr>
              <w:tab/>
            </w:r>
            <w:r w:rsidR="008D59A1">
              <w:rPr>
                <w:noProof/>
                <w:webHidden/>
              </w:rPr>
              <w:fldChar w:fldCharType="begin"/>
            </w:r>
            <w:r w:rsidR="008D59A1">
              <w:rPr>
                <w:noProof/>
                <w:webHidden/>
              </w:rPr>
              <w:instrText xml:space="preserve"> PAGEREF _Toc43369215 \h </w:instrText>
            </w:r>
            <w:r w:rsidR="008D59A1">
              <w:rPr>
                <w:noProof/>
                <w:webHidden/>
              </w:rPr>
            </w:r>
            <w:r w:rsidR="008D59A1">
              <w:rPr>
                <w:noProof/>
                <w:webHidden/>
              </w:rPr>
              <w:fldChar w:fldCharType="separate"/>
            </w:r>
            <w:r w:rsidR="008D59A1">
              <w:rPr>
                <w:noProof/>
                <w:webHidden/>
              </w:rPr>
              <w:t>8</w:t>
            </w:r>
            <w:r w:rsidR="008D59A1">
              <w:rPr>
                <w:noProof/>
                <w:webHidden/>
              </w:rPr>
              <w:fldChar w:fldCharType="end"/>
            </w:r>
          </w:hyperlink>
        </w:p>
        <w:p w:rsidR="008D59A1" w:rsidRDefault="00FD6437">
          <w:pPr>
            <w:pStyle w:val="TOC1"/>
            <w:tabs>
              <w:tab w:val="left" w:pos="440"/>
              <w:tab w:val="right" w:leader="dot" w:pos="9017"/>
            </w:tabs>
            <w:rPr>
              <w:rFonts w:eastAsiaTheme="minorEastAsia"/>
              <w:noProof/>
            </w:rPr>
          </w:pPr>
          <w:hyperlink w:anchor="_Toc43369216" w:history="1">
            <w:r w:rsidR="008D59A1" w:rsidRPr="00DF590D">
              <w:rPr>
                <w:rStyle w:val="Hyperlink"/>
                <w:rFonts w:asciiTheme="majorBidi" w:hAnsiTheme="majorBidi" w:cstheme="majorBidi"/>
                <w:b/>
                <w:noProof/>
              </w:rPr>
              <w:t>V.</w:t>
            </w:r>
            <w:r w:rsidR="008D59A1">
              <w:rPr>
                <w:rFonts w:eastAsiaTheme="minorEastAsia"/>
                <w:noProof/>
              </w:rPr>
              <w:tab/>
            </w:r>
            <w:r w:rsidR="008D59A1" w:rsidRPr="00DF590D">
              <w:rPr>
                <w:rStyle w:val="Hyperlink"/>
                <w:b/>
                <w:noProof/>
              </w:rPr>
              <w:t>References</w:t>
            </w:r>
            <w:r w:rsidR="008D59A1">
              <w:rPr>
                <w:noProof/>
                <w:webHidden/>
              </w:rPr>
              <w:tab/>
            </w:r>
            <w:r w:rsidR="008D59A1">
              <w:rPr>
                <w:noProof/>
                <w:webHidden/>
              </w:rPr>
              <w:fldChar w:fldCharType="begin"/>
            </w:r>
            <w:r w:rsidR="008D59A1">
              <w:rPr>
                <w:noProof/>
                <w:webHidden/>
              </w:rPr>
              <w:instrText xml:space="preserve"> PAGEREF _Toc43369216 \h </w:instrText>
            </w:r>
            <w:r w:rsidR="008D59A1">
              <w:rPr>
                <w:noProof/>
                <w:webHidden/>
              </w:rPr>
            </w:r>
            <w:r w:rsidR="008D59A1">
              <w:rPr>
                <w:noProof/>
                <w:webHidden/>
              </w:rPr>
              <w:fldChar w:fldCharType="separate"/>
            </w:r>
            <w:r w:rsidR="008D59A1">
              <w:rPr>
                <w:noProof/>
                <w:webHidden/>
              </w:rPr>
              <w:t>9</w:t>
            </w:r>
            <w:r w:rsidR="008D59A1">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369208"/>
      <w:r>
        <w:rPr>
          <w:b/>
          <w:color w:val="333333"/>
          <w:sz w:val="32"/>
        </w:rPr>
        <w:t>Introduction</w:t>
      </w:r>
      <w:bookmarkEnd w:id="0"/>
    </w:p>
    <w:p w:rsidR="00C172FE" w:rsidRPr="00C172FE" w:rsidRDefault="00C172FE" w:rsidP="00C172FE">
      <w:pPr>
        <w:jc w:val="both"/>
        <w:rPr>
          <w:rFonts w:asciiTheme="majorBidi" w:hAnsiTheme="majorBidi" w:cstheme="majorBidi"/>
          <w:sz w:val="24"/>
          <w:szCs w:val="24"/>
        </w:rPr>
      </w:pPr>
      <w:r w:rsidRPr="00C172FE">
        <w:rPr>
          <w:rFonts w:asciiTheme="majorBidi" w:hAnsiTheme="majorBidi" w:cstheme="majorBidi"/>
          <w:sz w:val="24"/>
          <w:szCs w:val="24"/>
        </w:rPr>
        <w:t>Entrepreneurship is a set of skills that contribute to starting a new business by linking it to the ability to create new opportunities; it is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 sectors. It can absorb more manpower, making it an appropriate environment for investing in human capital and its impact on the study community. In addition, it contributes to reducing the phenomena of unemployment and poverty, the most prevalent phenomena in societies that negatively affect the process of economic growth, which will be presented through this study. In addition, Entrepreneurship is an innovation catalyst. It is the essential engine that drives any economic activities. Entrepreneurship helps make a lot of tangible changes to communities that can actually be seen on the ground. Moreover, it also works to increase the rate of national income for both the individual and the family, which contributes to savings, investment, and increase the economic cycle. Entrepreneurship contributes to the development of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3369209"/>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3369210"/>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3369211"/>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3369212"/>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xml:space="preserve">.  On other hand, for factor-driven the average for Africa, Asia &amp; Oceania and Europe are very close to each other but </w:t>
      </w:r>
      <w:r w:rsidR="005443E3">
        <w:rPr>
          <w:bCs/>
          <w:color w:val="000000"/>
          <w:shd w:val="clear" w:color="auto" w:fill="FFFFFF"/>
        </w:rPr>
        <w:lastRenderedPageBreak/>
        <w:t>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3369213"/>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3369214"/>
      <w:r w:rsidRPr="00312D91">
        <w:rPr>
          <w:rStyle w:val="Strong"/>
          <w:color w:val="333333"/>
        </w:rPr>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lastRenderedPageBreak/>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5983200" cy="2858400"/>
            <wp:effectExtent l="0" t="0" r="17780" b="18415"/>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lastRenderedPageBreak/>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176E6D">
      <w:pPr>
        <w:pStyle w:val="NormalWeb"/>
        <w:numPr>
          <w:ilvl w:val="0"/>
          <w:numId w:val="1"/>
        </w:numPr>
        <w:spacing w:line="360" w:lineRule="auto"/>
        <w:jc w:val="both"/>
        <w:outlineLvl w:val="0"/>
        <w:rPr>
          <w:b/>
          <w:color w:val="333333"/>
          <w:sz w:val="32"/>
        </w:rPr>
      </w:pPr>
      <w:bookmarkStart w:id="8" w:name="_Toc511646857"/>
      <w:bookmarkStart w:id="9" w:name="_Toc43369215"/>
      <w:r w:rsidRPr="00176E6D">
        <w:rPr>
          <w:b/>
          <w:color w:val="333333"/>
          <w:sz w:val="32"/>
        </w:rPr>
        <w:lastRenderedPageBreak/>
        <w:t>Conclusion and Recommendations</w:t>
      </w:r>
      <w:bookmarkEnd w:id="8"/>
      <w:bookmarkEnd w:id="9"/>
    </w:p>
    <w:p w:rsidR="00176E6D" w:rsidRDefault="00176E6D" w:rsidP="00176E6D">
      <w:pPr>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176E6D">
      <w:pPr>
        <w:ind w:left="630"/>
        <w:jc w:val="both"/>
        <w:rPr>
          <w:rFonts w:asciiTheme="majorBidi" w:hAnsiTheme="majorBidi" w:cstheme="majorBidi"/>
          <w:sz w:val="24"/>
          <w:szCs w:val="24"/>
        </w:rPr>
      </w:pPr>
      <w:r>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176E6D">
      <w:pPr>
        <w:pStyle w:val="ListParagraph"/>
        <w:numPr>
          <w:ilvl w:val="0"/>
          <w:numId w:val="6"/>
        </w:numPr>
        <w:spacing w:after="0"/>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176E6D">
      <w:pPr>
        <w:pStyle w:val="ListParagraph"/>
        <w:numPr>
          <w:ilvl w:val="0"/>
          <w:numId w:val="6"/>
        </w:numPr>
        <w:spacing w:after="0"/>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369216"/>
      <w:r w:rsidRPr="007B1E7C">
        <w:rPr>
          <w:b/>
          <w:color w:val="333333"/>
          <w:sz w:val="32"/>
        </w:rPr>
        <w:lastRenderedPageBreak/>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437" w:rsidRDefault="00FD6437" w:rsidP="003B36E8">
      <w:pPr>
        <w:spacing w:after="0" w:line="240" w:lineRule="auto"/>
      </w:pPr>
      <w:r>
        <w:separator/>
      </w:r>
    </w:p>
  </w:endnote>
  <w:endnote w:type="continuationSeparator" w:id="0">
    <w:p w:rsidR="00FD6437" w:rsidRDefault="00FD6437"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374639" w:rsidRPr="00374639">
          <w:rPr>
            <w:b/>
            <w:bCs/>
            <w:noProof/>
          </w:rPr>
          <w:t>9</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437" w:rsidRDefault="00FD6437" w:rsidP="003B36E8">
      <w:pPr>
        <w:spacing w:after="0" w:line="240" w:lineRule="auto"/>
      </w:pPr>
      <w:r>
        <w:separator/>
      </w:r>
    </w:p>
  </w:footnote>
  <w:footnote w:type="continuationSeparator" w:id="0">
    <w:p w:rsidR="00FD6437" w:rsidRDefault="00FD6437"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34FB0"/>
    <w:rsid w:val="000543EE"/>
    <w:rsid w:val="000964A2"/>
    <w:rsid w:val="000E26A9"/>
    <w:rsid w:val="00135D0E"/>
    <w:rsid w:val="001623EE"/>
    <w:rsid w:val="0016708F"/>
    <w:rsid w:val="00176E6D"/>
    <w:rsid w:val="001955D6"/>
    <w:rsid w:val="001A25B7"/>
    <w:rsid w:val="00206F8C"/>
    <w:rsid w:val="00231588"/>
    <w:rsid w:val="0025184B"/>
    <w:rsid w:val="0025339E"/>
    <w:rsid w:val="002C6D2F"/>
    <w:rsid w:val="002E5A65"/>
    <w:rsid w:val="00312D91"/>
    <w:rsid w:val="00313A35"/>
    <w:rsid w:val="00374639"/>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5F256B"/>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8D59A1"/>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8027E"/>
    <w:rsid w:val="00BA21F4"/>
    <w:rsid w:val="00BB0E17"/>
    <w:rsid w:val="00BB5328"/>
    <w:rsid w:val="00BD5765"/>
    <w:rsid w:val="00BD58BF"/>
    <w:rsid w:val="00C13560"/>
    <w:rsid w:val="00C172FE"/>
    <w:rsid w:val="00C4020E"/>
    <w:rsid w:val="00C63950"/>
    <w:rsid w:val="00CC3A8A"/>
    <w:rsid w:val="00CD26F4"/>
    <w:rsid w:val="00D33EB3"/>
    <w:rsid w:val="00D403F4"/>
    <w:rsid w:val="00D40CC7"/>
    <w:rsid w:val="00DC37C9"/>
    <w:rsid w:val="00DE481F"/>
    <w:rsid w:val="00E10F76"/>
    <w:rsid w:val="00E359D2"/>
    <w:rsid w:val="00EB67B0"/>
    <w:rsid w:val="00EC1CC8"/>
    <w:rsid w:val="00EC4377"/>
    <w:rsid w:val="00EE461A"/>
    <w:rsid w:val="00EF33DF"/>
    <w:rsid w:val="00F13526"/>
    <w:rsid w:val="00FC7B12"/>
    <w:rsid w:val="00FD6437"/>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20187136"/>
        <c:axId val="120188928"/>
      </c:barChart>
      <c:catAx>
        <c:axId val="12018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88928"/>
        <c:crosses val="autoZero"/>
        <c:auto val="1"/>
        <c:lblAlgn val="ctr"/>
        <c:lblOffset val="100"/>
        <c:noMultiLvlLbl val="0"/>
      </c:catAx>
      <c:valAx>
        <c:axId val="120188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87136"/>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20515584"/>
        <c:axId val="121045760"/>
      </c:barChart>
      <c:catAx>
        <c:axId val="12051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45760"/>
        <c:crosses val="autoZero"/>
        <c:auto val="1"/>
        <c:lblAlgn val="ctr"/>
        <c:lblOffset val="100"/>
        <c:noMultiLvlLbl val="0"/>
      </c:catAx>
      <c:valAx>
        <c:axId val="12104576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15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21192448"/>
        <c:axId val="121193984"/>
      </c:barChart>
      <c:catAx>
        <c:axId val="12119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93984"/>
        <c:crosses val="autoZero"/>
        <c:auto val="1"/>
        <c:lblAlgn val="ctr"/>
        <c:lblOffset val="100"/>
        <c:noMultiLvlLbl val="0"/>
      </c:catAx>
      <c:valAx>
        <c:axId val="1211939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92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21266176"/>
        <c:axId val="121267712"/>
      </c:barChart>
      <c:catAx>
        <c:axId val="121266176"/>
        <c:scaling>
          <c:orientation val="minMax"/>
        </c:scaling>
        <c:delete val="0"/>
        <c:axPos val="b"/>
        <c:majorTickMark val="out"/>
        <c:minorTickMark val="none"/>
        <c:tickLblPos val="nextTo"/>
        <c:crossAx val="121267712"/>
        <c:crosses val="autoZero"/>
        <c:auto val="1"/>
        <c:lblAlgn val="ctr"/>
        <c:lblOffset val="100"/>
        <c:noMultiLvlLbl val="0"/>
      </c:catAx>
      <c:valAx>
        <c:axId val="121267712"/>
        <c:scaling>
          <c:orientation val="minMax"/>
        </c:scaling>
        <c:delete val="0"/>
        <c:axPos val="l"/>
        <c:majorGridlines/>
        <c:numFmt formatCode="0.00" sourceLinked="1"/>
        <c:majorTickMark val="out"/>
        <c:minorTickMark val="none"/>
        <c:tickLblPos val="nextTo"/>
        <c:crossAx val="121266176"/>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vert="horz"/>
          <a:lstStyle/>
          <a:p>
            <a:pPr>
              <a:defRPr/>
            </a:pPr>
            <a:r>
              <a:rPr lang="en-US"/>
              <a:t>Arabic Countries</a:t>
            </a:r>
          </a:p>
        </c:rich>
      </c:tx>
      <c:layout>
        <c:manualLayout>
          <c:xMode val="edge"/>
          <c:yMode val="edge"/>
          <c:x val="0.32290158657683865"/>
          <c:y val="2.3469519377507034E-2"/>
        </c:manualLayout>
      </c:layout>
      <c:overlay val="0"/>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invertIfNegative val="0"/>
          <c:dLbls>
            <c:dLbl>
              <c:idx val="0"/>
              <c:layout>
                <c:manualLayout>
                  <c:x val="0"/>
                  <c:y val="0"/>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21340672"/>
        <c:axId val="121342208"/>
      </c:barChart>
      <c:catAx>
        <c:axId val="121340672"/>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21342208"/>
        <c:crosses val="autoZero"/>
        <c:auto val="1"/>
        <c:lblAlgn val="ctr"/>
        <c:lblOffset val="100"/>
        <c:noMultiLvlLbl val="0"/>
      </c:catAx>
      <c:valAx>
        <c:axId val="121342208"/>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21340672"/>
        <c:crosses val="autoZero"/>
        <c:crossBetween val="between"/>
      </c:valAx>
    </c:plotArea>
    <c:legend>
      <c:legendPos val="r"/>
      <c:layout>
        <c:manualLayout>
          <c:xMode val="edge"/>
          <c:yMode val="edge"/>
          <c:x val="0.80247153797687998"/>
          <c:y val="0.28955104907995322"/>
          <c:w val="0.1847031292744358"/>
          <c:h val="0.45947233079305805"/>
        </c:manualLayout>
      </c:layout>
      <c:overlay val="0"/>
      <c:txPr>
        <a:bodyPr rot="0" vert="horz"/>
        <a:lstStyle/>
        <a:p>
          <a:pPr>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21455744"/>
        <c:axId val="121457280"/>
      </c:barChart>
      <c:catAx>
        <c:axId val="121455744"/>
        <c:scaling>
          <c:orientation val="minMax"/>
        </c:scaling>
        <c:delete val="0"/>
        <c:axPos val="b"/>
        <c:majorTickMark val="out"/>
        <c:minorTickMark val="none"/>
        <c:tickLblPos val="nextTo"/>
        <c:crossAx val="121457280"/>
        <c:crosses val="autoZero"/>
        <c:auto val="1"/>
        <c:lblAlgn val="ctr"/>
        <c:lblOffset val="100"/>
        <c:noMultiLvlLbl val="0"/>
      </c:catAx>
      <c:valAx>
        <c:axId val="121457280"/>
        <c:scaling>
          <c:orientation val="minMax"/>
        </c:scaling>
        <c:delete val="0"/>
        <c:axPos val="l"/>
        <c:majorGridlines/>
        <c:numFmt formatCode="0.00" sourceLinked="1"/>
        <c:majorTickMark val="out"/>
        <c:minorTickMark val="none"/>
        <c:tickLblPos val="nextTo"/>
        <c:crossAx val="121455744"/>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138DF-458D-453A-8400-DC7F05B5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10</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dc:title>
  <dc:subject>Impact on Jobs, Innovation, and Economic Growth</dc:subject>
  <dc:creator>Alaa Sindi</dc:creator>
  <cp:lastModifiedBy>dell</cp:lastModifiedBy>
  <cp:revision>75</cp:revision>
  <dcterms:created xsi:type="dcterms:W3CDTF">2018-04-05T21:48:00Z</dcterms:created>
  <dcterms:modified xsi:type="dcterms:W3CDTF">2020-06-20T15:48:00Z</dcterms:modified>
</cp:coreProperties>
</file>