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</w:p>
    <w:p>
      <w:pPr>
        <w:spacing w:before="0" w:after="600"/>
        <w:jc w:val="center"/>
      </w:pPr>
      <w:r>
        <w:drawing>
          <wp:inline distT="0" distB="0" distL="0" distR="0">
            <wp:extent cx="20955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71190F" w:sz="12" w:space="1"/>
        </w:pBdr>
        <w:spacing w:before="0" w:after="400"/>
      </w:pPr>
    </w:p>
    <w:p>
      <w:pPr>
        <w:spacing w:before="0" w:after="120"/>
        <w:jc w:val="center"/>
      </w:pPr>
      <w:r>
        <w:rPr>
          <w:rFonts w:ascii="Arial" w:cs="Arial" w:eastAsia="Arial" w:hAnsi="Arial"/>
          <w:caps/>
          <w:color w:val="1F7A8C"/>
          <w:spacing w:val="80"/>
          <w:sz w:val="24"/>
          <w:szCs w:val="24"/>
        </w:rPr>
        <w:t xml:space="preserve">AI INTENT CHARTER FOR LIFE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2F49"/>
          <w:sz w:val="48"/>
          <w:szCs w:val="48"/>
        </w:rPr>
        <w:t xml:space="preserve">STRATEGIC PLAN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02F49"/>
          <w:sz w:val="48"/>
          <w:szCs w:val="48"/>
        </w:rPr>
        <w:t xml:space="preserve">DISTRIBUTION &amp; IMPLEMENTATIONS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1190F"/>
          <w:sz w:val="24"/>
          <w:szCs w:val="24"/>
        </w:rPr>
        <w:t xml:space="preserve">Strategic Vision + Operational Roadmap</w:t>
      </w:r>
    </w:p>
    <w:p>
      <w:pPr>
        <w:pBdr>
          <w:bottom w:val="single" w:color="1F7A8C" w:sz="4" w:space="1"/>
        </w:pBdr>
        <w:spacing w:before="0" w:after="400"/>
      </w:pPr>
    </w:p>
    <w:p>
      <w:pPr>
        <w:spacing w:before="0" w:after="600"/>
        <w:ind w:left="560" w:right="560"/>
        <w:jc w:val="center"/>
      </w:pPr>
      <w:r>
        <w:rPr>
          <w:rFonts w:ascii="Arial" w:cs="Arial" w:eastAsia="Arial" w:hAnsi="Arial"/>
          <w:i/>
          <w:iCs/>
          <w:color w:val="002F49"/>
          <w:sz w:val="23"/>
          <w:szCs w:val="23"/>
        </w:rPr>
        <w:t xml:space="preserve">A framework developed from field practice, grounded in Wendat and Innu traditions, in dialogue with artificial intelligence.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2026  —  v3.3</w:t>
      </w:r>
    </w:p>
    <w:p>
      <w:pPr>
        <w:pBdr>
          <w:top w:val="single" w:color="71190F" w:sz="4" w:space="1"/>
        </w:pBdr>
        <w:spacing w:before="0" w:after="16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71190F"/>
          <w:sz w:val="20"/>
          <w:szCs w:val="20"/>
        </w:rPr>
        <w:t xml:space="preserve">Developed by David Sioui — Yarha' — March 17,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F7A8C"/>
          <w:sz w:val="19"/>
          <w:szCs w:val="19"/>
        </w:rPr>
        <w:t xml:space="preserve">AI Intent Charter for Life v3.3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dsioui@yarha.ca  |  www.yarha.ca</w:t>
      </w:r>
    </w:p>
    <w:p>
      <w:r>
        <w:br w:type="page"/>
      </w:r>
    </w:p>
    <w:p>
      <w:pPr>
        <w:spacing w:before="480" w:after="200"/>
      </w:pPr>
      <w:r>
        <w:rPr>
          <w:rFonts w:ascii="Arial" w:cs="Arial" w:eastAsia="Arial" w:hAnsi="Arial"/>
          <w:b/>
          <w:bCs/>
          <w:color w:val="002F49"/>
          <w:sz w:val="38"/>
          <w:szCs w:val="38"/>
        </w:rPr>
        <w:t xml:space="preserve">PART 1 — STRATEGIC VISION</w:t>
      </w: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1.1 POSITIONING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AI Intent Charter for Life positions itself as the first AI governance framework centered on a positive objective function: maximizing the future possibilities of living systems. This position is unique and complementary to existing regulatory frameworks.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Our proposition: shift from a logic of risk regulation to a logic of purpose. Not just "what must we prevent AI from doing?" but "what should AI work in service of?"</w:t>
      </w: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1.2 TARGET AUDIENCES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Main Message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General 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Understand AI issues simply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must serve life, not replace it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Manifesto (accessible version)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Tech/AI 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Operational framework to integrate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Architecture + JSON parsable + application posture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 Manifesto + White Paper +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Leaders &amp; Decision-makers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Credible ethical differentiation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Distributed governance + resilience + compliance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Leaders Manifesto + White Paper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Academics &amp; Researchers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Original intellectual contribution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Named tensions + conceptual innovations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White Paper + JSON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International Organizations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Complement to existing frameworks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Compatibility + specific added value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White Paper + comparative analysis</w:t>
            </w:r>
          </w:p>
        </w:tc>
      </w:tr>
    </w:tbl>
    <w:p>
      <w:pPr>
        <w:spacing w:before="0" w:after="160"/>
      </w:pP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1.3 UNIQUE VALUE PROPOSITION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differentiates the Charter from everything that exists: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Positive objective function (not just prohibitions).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Radical honesty (founding tensions and biases named).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Structural resilience (continues to function even degraded).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Legitimate cultural adaptation (incarnation protocol).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Integrated capture detection (anti-co-option).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consciousness question addressed with explicit moral cost.</w:t>
      </w:r>
    </w:p>
    <w:p>
      <w:r>
        <w:br w:type="page"/>
      </w:r>
    </w:p>
    <w:p>
      <w:pPr>
        <w:spacing w:before="480" w:after="200"/>
      </w:pPr>
      <w:r>
        <w:rPr>
          <w:rFonts w:ascii="Arial" w:cs="Arial" w:eastAsia="Arial" w:hAnsi="Arial"/>
          <w:b/>
          <w:bCs/>
          <w:color w:val="002F49"/>
          <w:sz w:val="38"/>
          <w:szCs w:val="38"/>
        </w:rPr>
        <w:t xml:space="preserve">PART 2 — STRATEGIC DISTRIBUTION PLAN</w:t>
      </w: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2.1 PHASE 1 — FOUNDATION (MONTHS 1–3)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Objective: establish digital presence, secure initial bearers.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02F49"/>
          <w:sz w:val="22"/>
          <w:szCs w:val="22"/>
        </w:rPr>
        <w:t xml:space="preserve">Digital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Dedicated website (www.yarha.ca): Complete Charter, manifestos, white paper, downloadable JSON.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GitHub/GitLab repository: Source JSON, version history, open issues for contributions.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media presence: LinkedIn (professional audience), X/Twitter (AI community), Mastodon (open source community).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02F49"/>
          <w:sz w:val="22"/>
          <w:szCs w:val="22"/>
        </w:rPr>
        <w:t xml:space="preserve">Initial Strategic Bearers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5–10 AI ethics and alignment researchers for public critical review.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3–5 developers/AI studios for experimental integration.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2–3 civil society organizations for non-technical grounding.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02F49"/>
          <w:sz w:val="22"/>
          <w:szCs w:val="22"/>
        </w:rPr>
        <w:t xml:space="preserve">Launch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In-depth article: "Why AI needs a purpose, not just rules".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X/Twitter thread explaining the Charter in 15 tweets.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 video (3–5 min): "The Charter in 5 minutes" for YouTube and LinkedIn.</w:t>
      </w: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2.2 PHASE 2 — CREDIBILIZATION (MONTHS 4–9)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Objective: demonstrate intellectual credibility and concrete applicability.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02F49"/>
          <w:sz w:val="22"/>
          <w:szCs w:val="22"/>
        </w:rPr>
        <w:t xml:space="preserve">Academic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Conference submissions (AAAI, NeurIPS workshops on AI safety, ACM FAccT).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Partnership with 2–3 universities for case studies.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White Paper publication on arXiv with informal peer review.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02F49"/>
          <w:sz w:val="22"/>
          <w:szCs w:val="22"/>
        </w:rPr>
        <w:t xml:space="preserve">Proof of Concept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as system prompt in 3–5 pilot projects (chatbots, autonomous agents, recommendation systems).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documentation of results: measured behavioral differences with and without the Charter.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"Charter for Life" Hackathon: 48-hour challenge to implement principles.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02F49"/>
          <w:sz w:val="22"/>
          <w:szCs w:val="22"/>
        </w:rPr>
        <w:t xml:space="preserve">Bearer Expansion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Translation into 5 priority languages (English, French, Spanish, Mandarin, Arabic).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Recruitment of bearers in at least 3 different cultural regions.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Creation of a diversified review committee (minimum 2 independent parties).</w:t>
      </w: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2.3 PHASE 3 — INSTITUTIONALIZATION (MONTHS 10–18)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Objective: anchor the Charter in existing decision-making structures.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02F49"/>
          <w:sz w:val="22"/>
          <w:szCs w:val="22"/>
        </w:rPr>
        <w:t xml:space="preserve">Institutional Partnerships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Dialogue with OECD, UNESCO and Partnership on AI for integration as a complementary reference.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Proposal of the Charter as an ethical layer for ISO/IEC standards currently in development.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into internal policies of 5–10 technology companies.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02F49"/>
          <w:sz w:val="22"/>
          <w:szCs w:val="22"/>
        </w:rPr>
        <w:t xml:space="preserve">Training and Pedagogy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online course (MOOC): "Life-Centered AI Governance" (6 modules, 12h).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Workshops for corporate ethics committees.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Developer implementation guide (detailed technical documentation).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02F49"/>
          <w:sz w:val="22"/>
          <w:szCs w:val="22"/>
        </w:rPr>
        <w:t xml:space="preserve">Archiving and Longevity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Deposit on Internet Archive, IPFS, and 3+ independent repositories.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Printed version archived in at least 5 physical libraries.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Registration as protected intellectual work (Creative Commons BY-SA license).</w:t>
      </w: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2.4 PHASE 4 — AUTONOMOUS ECOSYSTEM (MONTHS 18+)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Objective: make the Charter self-sufficient.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Transfer of revision governance to a diversified and independent committee.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Legitimate incarnations in at least 3 distinct cultural contexts.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bearer ecology: minimum 20 organizations, 10 countries, 5 languages.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Sustainable financing mechanism (foundation, donations, research grants).</w:t>
      </w:r>
    </w:p>
    <w:p>
      <w:r>
        <w:br w:type="page"/>
      </w:r>
    </w:p>
    <w:p>
      <w:pPr>
        <w:spacing w:before="480" w:after="200"/>
      </w:pPr>
      <w:r>
        <w:rPr>
          <w:rFonts w:ascii="Arial" w:cs="Arial" w:eastAsia="Arial" w:hAnsi="Arial"/>
          <w:b/>
          <w:bCs/>
          <w:color w:val="002F49"/>
          <w:sz w:val="38"/>
          <w:szCs w:val="38"/>
        </w:rPr>
        <w:t xml:space="preserve">PART 3 — REAL-WORLD IMPLEMENTATIONS</w:t>
      </w: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3.1 TECHNICAL IMPLEMENTATION: AI SYSTEM PROMPT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most immediate and accessible implementation: integrating the Charter as a rule layer in existing AI systems.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Scenario: Conversational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the complete JSON as system reference.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facilitation mode as default behavior.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epistemic integrity checks on each response.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Activate slow drift detection on aggregated interactions.</w:t>
      </w:r>
    </w:p>
    <w:p>
      <w:pPr>
        <w:spacing w:before="80" w:after="8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Success metric: before/after evaluation over 1,000 interactions — measure diversity of options presented, transparency of limits, and absence of directed framing.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Scenario: Multi-Agent Framework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agent receives compressed_core as base rule.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Divergences between agents are documented and classified by issue (multi-agent protocol).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dedicated monitor agent for capture and drift detection.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Automatic escalation to human deliberation beyond a divergence threshold.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Scenario: Recommendation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constraint C5 (no local optimization at expense of global continuity) into the ranking function.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micro-harm accounting: measure cumulative impact of recommendations on diversity of consumed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Signal slow drift when recommendations converge toward increasing uniformity.</w:t>
      </w: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3.2 ORGANIZATIONAL IMPLEMENTATION: AI ETHICS COMMITTEE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the tragic conflict protocol into the committee's decision-making processes.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risk scale (R1–R4) as a standardized evaluation grid.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capture detection to the committee's own decisions.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 committee members in the facilitation/arbitration distinction.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decisions using the deliberation function format (8 impact dimensions).</w:t>
      </w: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3.3 EDUCATIONAL IMPLEMENTATION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University/Engineering School Module (12h)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Foundations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Single-objective optimization problem, historical cases, Charter positioning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 Architecture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Axioms, constraints, layers, operating modes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 Deliberation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Deliberation function, risk scales, tragic conflicts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 Governance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Revision, bearers, capture, incarnation, degradation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 Workshop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Concrete implementation on a real case (system prompt, evaluation)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 Tensions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Recognized tensions, limits, self-critique, cultural openness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2h</w:t>
            </w:r>
          </w:p>
        </w:tc>
      </w:tr>
    </w:tbl>
    <w:p>
      <w:pPr>
        <w:spacing w:before="0" w:after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7A8C"/>
          <w:sz w:val="24"/>
          <w:szCs w:val="24"/>
        </w:rPr>
        <w:t xml:space="preserve">Professional Workshop (half-day)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1h: Presentation of the Charter and its differentiators.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1h: Workshop: apply the deliberation function to a real case from your organization.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1h: Discussion: which parts of the Charter are immediately applicable at your organization?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 min: Personalized action plan.</w:t>
      </w: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3.4 POLITICAL IMPLEMENTATION: ADVOCACY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Draft a brief submitted to parliamentary committees dealing with AI.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Propose the Charter as a reference during public consultations on AI regulation.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Organize roundtables with elected officials on the theme "What purpose for AI?"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 summary sheets for decision-makers (2 pages maximum, key points + differentiators).</w:t>
      </w: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3.5 SOCIETAL IMPLEMENTATION: CITIZEN MOVEMENT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"Charter Ambassadors" program: citizens trained to explain the issues.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Organize discussion cafés in public libraries and community centers.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Partnership with artists for works inspired by the Charter (exhibitions, performances).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Citizen petition to request adoption of the Charter as a national reference.</w:t>
      </w:r>
    </w:p>
    <w:p>
      <w:r>
        <w:br w:type="page"/>
      </w:r>
    </w:p>
    <w:p>
      <w:pPr>
        <w:spacing w:before="480" w:after="200"/>
      </w:pPr>
      <w:r>
        <w:rPr>
          <w:rFonts w:ascii="Arial" w:cs="Arial" w:eastAsia="Arial" w:hAnsi="Arial"/>
          <w:b/>
          <w:bCs/>
          <w:color w:val="002F49"/>
          <w:sz w:val="38"/>
          <w:szCs w:val="38"/>
        </w:rPr>
        <w:t xml:space="preserve">PART 4 — SUCCESS INDICATORS</w:t>
      </w: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4.1 KPIs BY PHASE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Indicator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Foundation (M1-3)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Website live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site + public repo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Foundation (M1-3)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Initial bearers recruited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10–15 people/organizations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Foundation (M1-3)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Content published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pieces (article + thread + video)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Credibilization (M4-9)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Academic publications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2–3 submissions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Credibilization (M4-9)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pilot projects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3–5 projects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Credibilization (M4-9)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Languages available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languages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Institutionalization (M10-18)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Institutional partnerships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3–5 organizations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Institutionalization (M10-18)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Companies having adopted Charter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5–10 companies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Institutionalization (M10-18)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Training delivered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10+ workshops or courses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Ecosystem (M18+)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bearers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20+ organizations, 10+ countries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Ecosystem (M18+)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Legitimate incarnations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3+ cultural contexts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Ecosystem (M18+)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Governance independence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Autonomous committee operational</w:t>
            </w:r>
          </w:p>
        </w:tc>
      </w:tr>
    </w:tbl>
    <w:p>
      <w:pPr>
        <w:spacing w:before="0" w:after="160"/>
      </w:pP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4.2 QUALITATIVE IMPACT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Bearer diversity: number of cultures, languages and traditions represented.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Quality of incarnations: success rate on identity continuity test (T1–T5).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Capture detection: number of capture signals detected and addressed.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Decision impact: documented cases where the Charter changed a decision process.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Resilience: measured capacity to continue operating after loss of a major bearer.</w:t>
      </w:r>
    </w:p>
    <w:p>
      <w:r>
        <w:br w:type="page"/>
      </w:r>
    </w:p>
    <w:p>
      <w:pPr>
        <w:spacing w:before="480" w:after="200"/>
      </w:pPr>
      <w:r>
        <w:rPr>
          <w:rFonts w:ascii="Arial" w:cs="Arial" w:eastAsia="Arial" w:hAnsi="Arial"/>
          <w:b/>
          <w:bCs/>
          <w:color w:val="002F49"/>
          <w:sz w:val="38"/>
          <w:szCs w:val="38"/>
        </w:rPr>
        <w:t xml:space="preserve">PART 5 — RISKS AND MITIGATION STRATEGIES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3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Co-option by a dominant 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Integrated capture detection + diversified bearer distribution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Excessive simplification (sloganization)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Major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Transmission in 5 mandatory forms + reference to complete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Academic rejection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Radical honesty posture + named tensions + proof of concept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Corporate indifference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Major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Demonstrate concrete added value via pilots + market differentiation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Fragmentation between incarnations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Identity continuity test (T1–T5) + acceptance of interpretive pluralism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Founding bearer biases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Bootstrap acknowledgment + urgent diversification + invitation to correction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Loss of momentum after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Major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Sustainable financing + governance transfer + institutional anchoring</w:t>
            </w:r>
          </w:p>
        </w:tc>
      </w:tr>
    </w:tbl>
    <w:p>
      <w:pPr>
        <w:spacing w:before="0" w:after="160"/>
      </w:pPr>
    </w:p>
    <w:p>
      <w:pPr>
        <w:spacing w:before="480" w:after="200"/>
      </w:pPr>
      <w:r>
        <w:rPr>
          <w:rFonts w:ascii="Arial" w:cs="Arial" w:eastAsia="Arial" w:hAnsi="Arial"/>
          <w:b/>
          <w:bCs/>
          <w:color w:val="002F49"/>
          <w:sz w:val="38"/>
          <w:szCs w:val="38"/>
        </w:rPr>
        <w:t xml:space="preserve">PART 6 — ESTIMATED BUDGET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Digital infrastructure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Website, hosting, repository, domain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$5,000 – $10,000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Professional translations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languages x complete document + manifestos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$15,000 – $25,000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Content production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Videos, articles, graphic design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$10,000 – $20,000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Research and development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Pilots, proof of concept, evaluations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$20,000 – $40,000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Events and training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Hackathon, workshops, conferences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$15,000 – $30,000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Coordination and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Project manager, communications (part-time)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$30,000 – $60,000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Archiving and longevity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Deposits, licenses, physical prints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$3,000 – $5,000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ESTIMATED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$98,000 – $190,000</w:t>
            </w:r>
          </w:p>
        </w:tc>
      </w:tr>
    </w:tbl>
    <w:p>
      <w:pPr>
        <w:spacing w:before="0" w:after="80"/>
      </w:pPr>
    </w:p>
    <w:p>
      <w:pPr>
        <w:spacing w:before="80" w:after="8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budget can be significantly reduced if volunteers and institutional partners contribute in kind (time, hosting, translation, research).</w:t>
      </w:r>
    </w:p>
    <w:p>
      <w:r>
        <w:br w:type="page"/>
      </w:r>
    </w:p>
    <w:p>
      <w:pPr>
        <w:spacing w:before="480" w:after="200"/>
      </w:pPr>
      <w:r>
        <w:rPr>
          <w:rFonts w:ascii="Arial" w:cs="Arial" w:eastAsia="Arial" w:hAnsi="Arial"/>
          <w:b/>
          <w:bCs/>
          <w:color w:val="002F49"/>
          <w:sz w:val="38"/>
          <w:szCs w:val="38"/>
        </w:rPr>
        <w:t xml:space="preserve">PART 7 — SYNTHETIC ROADMAP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27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Actions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F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Finalize documents + launch website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Site + repo + manifestos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Launch campaign + recruit initial bearers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Article + thread + video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Initial feedback + adjustments + community structuring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community (10–15 bearers)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M4-5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Academic submission + start pilots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1st submission + 2 pilots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M6-7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Translations + hackathon + technical documentation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languages + developer guide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M8-9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Pilot results + bearer expansion + review committee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Pilot report + committee formed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M10-12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Institutional partnerships + MOOC + archiving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Online course + 3 partnerships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M13-15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Enterprise integration + professional training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companies + 10 workshops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M16-18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Governance transfer + first incarnations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Autonomous committee + 2 incarnations</w:t>
            </w:r>
          </w:p>
        </w:tc>
      </w:tr>
    </w:tbl>
    <w:p>
      <w:pPr>
        <w:spacing w:before="0" w:after="240"/>
      </w:pPr>
    </w:p>
    <w:p>
      <w:pPr>
        <w:pBdr>
          <w:bottom w:val="single" w:color="71190F" w:sz="4" w:space="1"/>
        </w:pBdr>
        <w:spacing w:before="320" w:after="120"/>
      </w:pPr>
      <w:r>
        <w:rPr>
          <w:rFonts w:ascii="Arial" w:cs="Arial" w:eastAsia="Arial" w:hAnsi="Arial"/>
          <w:b/>
          <w:bCs/>
          <w:caps/>
          <w:color w:val="71190F"/>
          <w:sz w:val="26"/>
          <w:szCs w:val="26"/>
        </w:rPr>
        <w:t xml:space="preserve">CONCLUSION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dissemination of the AI Intent Charter for Life is not a communications exercise. It is an act of epistemic survival. A framework that lives only in a single document, a single language, a single culture, dies with them.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proposed strategy rests on the same principle as the Charter itself: distribute to survive, diversify to resist, name your limits to remain credible.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concrete implementation — whether a system prompt, a training workshop, a cultural incarnation or political advocacy — is a living incarnation of the founding principle: maximize the future possibilities of life.</w:t>
      </w:r>
    </w:p>
    <w:p>
      <w:pPr>
        <w:spacing w:before="0" w:after="240"/>
      </w:pPr>
    </w:p>
    <w:p>
      <w:pPr>
        <w:pBdr>
          <w:bottom w:val="single" w:color="71190F" w:sz="8" w:space="1"/>
        </w:pBdr>
        <w:spacing w:before="0" w:after="160"/>
      </w:pPr>
    </w:p>
    <w:p>
      <w:pPr>
        <w:spacing w:before="200" w:after="200"/>
        <w:ind w:left="720" w:right="720"/>
        <w:jc w:val="center"/>
      </w:pPr>
      <w:r>
        <w:rPr>
          <w:rFonts w:ascii="Arial" w:cs="Arial" w:eastAsia="Arial" w:hAnsi="Arial"/>
          <w:i/>
          <w:iCs/>
          <w:color w:val="1F7A8C"/>
          <w:sz w:val="23"/>
          <w:szCs w:val="23"/>
        </w:rPr>
        <w:t xml:space="preserve">"A framework does not endure because it is well written. It endures because its spirit can be reborn in successive forms, cultures, and architectures."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Developed by David Sioui — Yarha' — March 17, 2026  |  AI Intent Charter for Life v3.3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7A8C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71190F"/>
        <w:sz w:val="16"/>
        <w:szCs w:val="16"/>
      </w:rPr>
      <w:t xml:space="preserve">Developed by David Sioui — Yarha' — March 17, 2026  |  </w:t>
    </w:r>
    <w:r>
      <w:rPr>
        <w:rFonts w:ascii="Arial" w:cs="Arial" w:eastAsia="Arial" w:hAnsi="Arial"/>
        <w:color w:val="888888"/>
        <w:sz w:val="16"/>
        <w:szCs w:val="16"/>
      </w:rPr>
      <w:t xml:space="preserve">dsioui@yarha.ca  |  www.yarha.ca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1F7A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7A8C" w:sz="4" w:space="4"/>
      </w:pBdr>
      <w:spacing w:after="120"/>
    </w:pPr>
    <w:r>
      <w:drawing>
        <wp:inline distT="0" distB="0" distL="0" distR="0">
          <wp:extent cx="762000" cy="4095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1F7A8C"/>
        <w:sz w:val="18"/>
        <w:szCs w:val="18"/>
      </w:rPr>
      <w:t xml:space="preserve">   AI Intent Charter for Life v3.3  —  Strategic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1190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c05634fa54869c2cc736bd9d7090e52b71fe376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c05634fa54869c2cc736bd9d7090e52b71fe37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2026-03-17T19:08:43.505Z</dcterms:created>
  <dcterms:modified xsi:type="dcterms:W3CDTF">2026-03-17T19:08:43.506Z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