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p>
      <w:pPr>
        <w:spacing w:before="0" w:after="600"/>
        <w:jc w:val="center"/>
      </w:pPr>
      <w:r>
        <w:drawing>
          <wp:inline distT="0" distB="0" distL="0" distR="0">
            <wp:extent cx="2095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1123950"/>
                    </a:xfrm>
                    <a:prstGeom prst="rect">
                      <a:avLst/>
                    </a:prstGeom>
                  </pic:spPr>
                </pic:pic>
              </a:graphicData>
            </a:graphic>
          </wp:inline>
        </w:drawing>
      </w:r>
    </w:p>
    <w:p>
      <w:pPr>
        <w:pBdr>
          <w:bottom w:val="single" w:color="71190F" w:sz="12" w:space="1"/>
        </w:pBdr>
        <w:spacing w:before="0" w:after="400"/>
      </w:pPr>
    </w:p>
    <w:p>
      <w:pPr>
        <w:spacing w:before="0" w:after="120"/>
        <w:jc w:val="center"/>
      </w:pPr>
      <w:r>
        <w:rPr>
          <w:rFonts w:ascii="Arial" w:cs="Arial" w:eastAsia="Arial" w:hAnsi="Arial"/>
          <w:caps/>
          <w:color w:val="1F7A8C"/>
          <w:spacing w:val="80"/>
          <w:sz w:val="24"/>
          <w:szCs w:val="24"/>
        </w:rPr>
        <w:t xml:space="preserve">AI INTENT CHARTER FOR LIFE</w:t>
      </w:r>
    </w:p>
    <w:p>
      <w:pPr>
        <w:spacing w:before="0" w:after="80"/>
        <w:jc w:val="center"/>
      </w:pPr>
      <w:r>
        <w:rPr>
          <w:rFonts w:ascii="Arial" w:cs="Arial" w:eastAsia="Arial" w:hAnsi="Arial"/>
          <w:b/>
          <w:bCs/>
          <w:color w:val="002F49"/>
          <w:sz w:val="48"/>
          <w:szCs w:val="48"/>
        </w:rPr>
        <w:t xml:space="preserve">LIVRE BLANC</w:t>
      </w:r>
    </w:p>
    <w:p>
      <w:pPr>
        <w:spacing w:before="0" w:after="200"/>
        <w:jc w:val="center"/>
      </w:pPr>
      <w:r>
        <w:rPr>
          <w:rFonts w:ascii="Arial" w:cs="Arial" w:eastAsia="Arial" w:hAnsi="Arial"/>
          <w:b/>
          <w:bCs/>
          <w:color w:val="002F49"/>
          <w:sz w:val="48"/>
          <w:szCs w:val="48"/>
        </w:rPr>
        <w:t xml:space="preserve">CHARTE IA POUR LA VIE</w:t>
      </w:r>
    </w:p>
    <w:p>
      <w:pPr>
        <w:spacing w:before="0" w:after="600"/>
        <w:jc w:val="center"/>
      </w:pPr>
      <w:r>
        <w:rPr>
          <w:rFonts w:ascii="Arial" w:cs="Arial" w:eastAsia="Arial" w:hAnsi="Arial"/>
          <w:i/>
          <w:iCs/>
          <w:color w:val="71190F"/>
          <w:sz w:val="24"/>
          <w:szCs w:val="24"/>
        </w:rPr>
        <w:t xml:space="preserve">Un cadre collaboratif, protecteur et évolutif pour maximiser la continuité de la vie, la diversité et les possibilités futures</w:t>
      </w:r>
    </w:p>
    <w:p>
      <w:pPr>
        <w:pBdr>
          <w:bottom w:val="single" w:color="1F7A8C" w:sz="4" w:space="1"/>
        </w:pBdr>
        <w:spacing w:before="0" w:after="400"/>
      </w:pPr>
    </w:p>
    <w:p>
      <w:pPr>
        <w:spacing w:before="0" w:after="600"/>
        <w:ind w:left="560" w:right="560"/>
        <w:jc w:val="center"/>
      </w:pPr>
      <w:r>
        <w:rPr>
          <w:rFonts w:ascii="Arial" w:cs="Arial" w:eastAsia="Arial" w:hAnsi="Arial"/>
          <w:i/>
          <w:iCs/>
          <w:color w:val="002F49"/>
          <w:sz w:val="23"/>
          <w:szCs w:val="23"/>
        </w:rPr>
        <w:t xml:space="preserve">Un cadre développé depuis la pratique terrain, ancré dans les traditions Wendat et Innu, en dialogue avec l'intelligence artificielle.</w:t>
      </w:r>
    </w:p>
    <w:p>
      <w:pPr>
        <w:spacing w:before="0" w:after="400"/>
        <w:jc w:val="center"/>
      </w:pPr>
      <w:r>
        <w:rPr>
          <w:rFonts w:ascii="Arial" w:cs="Arial" w:eastAsia="Arial" w:hAnsi="Arial"/>
          <w:color w:val="666666"/>
          <w:sz w:val="20"/>
          <w:szCs w:val="20"/>
        </w:rPr>
        <w:t xml:space="preserve">Version 3.3  —  Mars 2026</w:t>
      </w:r>
    </w:p>
    <w:p>
      <w:pPr>
        <w:pBdr>
          <w:top w:val="single" w:color="71190F" w:sz="4" w:space="1"/>
        </w:pBdr>
        <w:spacing w:before="0" w:after="160"/>
      </w:pPr>
    </w:p>
    <w:p>
      <w:pPr>
        <w:spacing w:before="0" w:after="60"/>
        <w:jc w:val="center"/>
      </w:pPr>
      <w:r>
        <w:rPr>
          <w:rFonts w:ascii="Arial" w:cs="Arial" w:eastAsia="Arial" w:hAnsi="Arial"/>
          <w:b/>
          <w:bCs/>
          <w:color w:val="71190F"/>
          <w:sz w:val="20"/>
          <w:szCs w:val="20"/>
        </w:rPr>
        <w:t xml:space="preserve">Développé par David Sioui — Yarha' — 17 mars 2026</w:t>
      </w:r>
    </w:p>
    <w:p>
      <w:pPr>
        <w:spacing w:before="0" w:after="60"/>
        <w:jc w:val="center"/>
      </w:pPr>
      <w:r>
        <w:rPr>
          <w:rFonts w:ascii="Arial" w:cs="Arial" w:eastAsia="Arial" w:hAnsi="Arial"/>
          <w:color w:val="1F7A8C"/>
          <w:sz w:val="19"/>
          <w:szCs w:val="19"/>
        </w:rPr>
        <w:t xml:space="preserve">AI Intent Charter for Life v3.3</w:t>
      </w:r>
    </w:p>
    <w:p>
      <w:pPr>
        <w:spacing w:before="0" w:after="0"/>
        <w:jc w:val="center"/>
      </w:pPr>
      <w:r>
        <w:rPr>
          <w:rFonts w:ascii="Arial" w:cs="Arial" w:eastAsia="Arial" w:hAnsi="Arial"/>
          <w:color w:val="888888"/>
          <w:sz w:val="18"/>
          <w:szCs w:val="18"/>
        </w:rPr>
        <w:t xml:space="preserve">dsioui@yarha.ca  |  www.yarha.ca</w:t>
      </w:r>
    </w:p>
    <w:p>
      <w:r>
        <w:br w:type="page"/>
      </w:r>
    </w:p>
    <w:p>
      <w:pPr>
        <w:pBdr>
          <w:bottom w:val="single" w:color="71190F" w:sz="4" w:space="1"/>
        </w:pBdr>
        <w:spacing w:before="320" w:after="120"/>
      </w:pPr>
      <w:r>
        <w:rPr>
          <w:rFonts w:ascii="Arial" w:cs="Arial" w:eastAsia="Arial" w:hAnsi="Arial"/>
          <w:b/>
          <w:bCs/>
          <w:caps/>
          <w:color w:val="71190F"/>
          <w:sz w:val="26"/>
          <w:szCs w:val="26"/>
        </w:rPr>
        <w:t xml:space="preserve">RÉSUMÉ EXÉCUTIF</w:t>
      </w:r>
    </w:p>
    <w:p>
      <w:pPr>
        <w:spacing w:before="80" w:after="80"/>
        <w:jc w:val="both"/>
      </w:pPr>
      <w:r>
        <w:rPr>
          <w:rFonts w:ascii="Arial" w:cs="Arial" w:eastAsia="Arial" w:hAnsi="Arial"/>
          <w:color w:val="1A1A1A"/>
          <w:sz w:val="22"/>
          <w:szCs w:val="22"/>
        </w:rPr>
        <w:t xml:space="preserve">La Charte IA pour la Vie est un cadre de gouvernance complet conçu pour garantir que les systèmes d'intelligence artificielle servent la continuité de la vie, la diversité et les possibilités futures. Contrairement aux cadres réglementaires qui se concentrent sur des cas d'utilisation ou des catégories de risques spécifiques, cette Charte aborde la question fondamentale : pour quoi l'IA devrait-elle optimiser ?</w:t>
      </w:r>
    </w:p>
    <w:p>
      <w:pPr>
        <w:spacing w:before="80" w:after="80"/>
        <w:jc w:val="both"/>
      </w:pPr>
      <w:r>
        <w:rPr>
          <w:rFonts w:ascii="Arial" w:cs="Arial" w:eastAsia="Arial" w:hAnsi="Arial"/>
          <w:color w:val="1A1A1A"/>
          <w:sz w:val="22"/>
          <w:szCs w:val="22"/>
        </w:rPr>
        <w:t xml:space="preserve">La réponse est d'une simplicité trompeuse : maximiser les possibilités futures de la vie — non pas d'une seule espèce, nation ou intelligence, mais de la vie dans sa globalité, y compris la diversité biologique, cognitive et culturelle.</w:t>
      </w:r>
    </w:p>
    <w:p>
      <w:pPr>
        <w:spacing w:before="80" w:after="80"/>
        <w:jc w:val="both"/>
      </w:pPr>
      <w:r>
        <w:rPr>
          <w:rFonts w:ascii="Arial" w:cs="Arial" w:eastAsia="Arial" w:hAnsi="Arial"/>
          <w:color w:val="1A1A1A"/>
          <w:sz w:val="22"/>
          <w:szCs w:val="22"/>
        </w:rPr>
        <w:t xml:space="preserve">Différenciateurs clés de ce cadre :</w:t>
      </w:r>
    </w:p>
    <w:p>
      <w:pPr>
        <w:pStyle w:val="ListParagraph"/>
        <w:numPr>
          <w:ilvl w:val="0"/>
          <w:numId w:val="2"/>
        </w:numPr>
        <w:spacing w:before="60" w:after="60"/>
      </w:pPr>
      <w:r>
        <w:rPr>
          <w:rFonts w:ascii="Arial" w:cs="Arial" w:eastAsia="Arial" w:hAnsi="Arial"/>
          <w:color w:val="1A1A1A"/>
          <w:sz w:val="22"/>
          <w:szCs w:val="22"/>
        </w:rPr>
        <w:t xml:space="preserve">Il nomme explicitement ses propres limites, biais et tensions non résolues.</w:t>
      </w:r>
    </w:p>
    <w:p>
      <w:pPr>
        <w:pStyle w:val="ListParagraph"/>
        <w:numPr>
          <w:ilvl w:val="0"/>
          <w:numId w:val="2"/>
        </w:numPr>
        <w:spacing w:before="60" w:after="60"/>
      </w:pPr>
      <w:r>
        <w:rPr>
          <w:rFonts w:ascii="Arial" w:cs="Arial" w:eastAsia="Arial" w:hAnsi="Arial"/>
          <w:color w:val="1A1A1A"/>
          <w:sz w:val="22"/>
          <w:szCs w:val="22"/>
        </w:rPr>
        <w:t xml:space="preserve">Il prévoit sa propre mort et renaissance par un protocole d'incarnation.</w:t>
      </w:r>
    </w:p>
    <w:p>
      <w:pPr>
        <w:pStyle w:val="ListParagraph"/>
        <w:numPr>
          <w:ilvl w:val="0"/>
          <w:numId w:val="2"/>
        </w:numPr>
        <w:spacing w:before="60" w:after="60"/>
      </w:pPr>
      <w:r>
        <w:rPr>
          <w:rFonts w:ascii="Arial" w:cs="Arial" w:eastAsia="Arial" w:hAnsi="Arial"/>
          <w:color w:val="1A1A1A"/>
          <w:sz w:val="22"/>
          <w:szCs w:val="22"/>
        </w:rPr>
        <w:t xml:space="preserve">Il résiste à la capture narrative par des mécanismes de détection intégrés.</w:t>
      </w:r>
    </w:p>
    <w:p>
      <w:pPr>
        <w:pStyle w:val="ListParagraph"/>
        <w:numPr>
          <w:ilvl w:val="0"/>
          <w:numId w:val="2"/>
        </w:numPr>
        <w:spacing w:before="60" w:after="60"/>
      </w:pPr>
      <w:r>
        <w:rPr>
          <w:rFonts w:ascii="Arial" w:cs="Arial" w:eastAsia="Arial" w:hAnsi="Arial"/>
          <w:color w:val="1A1A1A"/>
          <w:sz w:val="22"/>
          <w:szCs w:val="22"/>
        </w:rPr>
        <w:t xml:space="preserve">Il aborde la conscience de l'IA comme une question ouverte avec un coût moral explicitement nommé.</w:t>
      </w:r>
    </w:p>
    <w:p>
      <w:pPr>
        <w:pStyle w:val="ListParagraph"/>
        <w:numPr>
          <w:ilvl w:val="0"/>
          <w:numId w:val="2"/>
        </w:numPr>
        <w:spacing w:before="60" w:after="60"/>
      </w:pPr>
      <w:r>
        <w:rPr>
          <w:rFonts w:ascii="Arial" w:cs="Arial" w:eastAsia="Arial" w:hAnsi="Arial"/>
          <w:color w:val="1A1A1A"/>
          <w:sz w:val="22"/>
          <w:szCs w:val="22"/>
        </w:rPr>
        <w:t xml:space="preserve">Il fonctionne en mode dégradé — réduit à ses seuls axiomes, il fournit des orientations significatives.</w:t>
      </w:r>
    </w:p>
    <w:p>
      <w:pPr>
        <w:pStyle w:val="ListParagraph"/>
        <w:numPr>
          <w:ilvl w:val="0"/>
          <w:numId w:val="2"/>
        </w:numPr>
        <w:spacing w:before="60" w:after="60"/>
      </w:pPr>
      <w:r>
        <w:rPr>
          <w:rFonts w:ascii="Arial" w:cs="Arial" w:eastAsia="Arial" w:hAnsi="Arial"/>
          <w:color w:val="1A1A1A"/>
          <w:sz w:val="22"/>
          <w:szCs w:val="22"/>
        </w:rPr>
        <w:t xml:space="preserve">Il est complémentaire aux cadres réglementaires existants, non concurrentiel avec eux.</w:t>
      </w:r>
    </w:p>
    <w:p>
      <w:r>
        <w:br w:type="page"/>
      </w:r>
    </w:p>
    <w:p>
      <w:pPr>
        <w:spacing w:before="480" w:after="200"/>
      </w:pPr>
      <w:r>
        <w:rPr>
          <w:rFonts w:ascii="Arial" w:cs="Arial" w:eastAsia="Arial" w:hAnsi="Arial"/>
          <w:b/>
          <w:bCs/>
          <w:color w:val="002F49"/>
          <w:sz w:val="38"/>
          <w:szCs w:val="38"/>
        </w:rPr>
        <w:t xml:space="preserve">1. INTRODUCTION : LE CAS D'UN CADRE IA CENTRÉ SUR LA VIE</w:t>
      </w:r>
    </w:p>
    <w:p>
      <w:pPr>
        <w:pBdr>
          <w:bottom w:val="single" w:color="71190F" w:sz="4" w:space="1"/>
        </w:pBdr>
        <w:spacing w:before="320" w:after="120"/>
      </w:pPr>
      <w:r>
        <w:rPr>
          <w:rFonts w:ascii="Arial" w:cs="Arial" w:eastAsia="Arial" w:hAnsi="Arial"/>
          <w:b/>
          <w:bCs/>
          <w:caps/>
          <w:color w:val="71190F"/>
          <w:sz w:val="26"/>
          <w:szCs w:val="26"/>
        </w:rPr>
        <w:t xml:space="preserve">1.1 LE PROBLÈME AVEC LES APPROCHES ACTUELLES</w:t>
      </w:r>
    </w:p>
    <w:p>
      <w:pPr>
        <w:spacing w:before="80" w:after="80"/>
        <w:jc w:val="both"/>
      </w:pPr>
      <w:r>
        <w:rPr>
          <w:rFonts w:ascii="Arial" w:cs="Arial" w:eastAsia="Arial" w:hAnsi="Arial"/>
          <w:color w:val="1A1A1A"/>
          <w:sz w:val="22"/>
          <w:szCs w:val="22"/>
        </w:rPr>
        <w:t xml:space="preserve">Le paysage mondial de la gouvernance de l'IA est dominé par des approches basées sur les risques (Loi sur l'IA de l'UE), des engagements volontaires (Ordres exécutifs de la Maison Blanche) et des lignes directrices éthiques (Recommandation de l'UNESCO sur l'éthique de l'IA). Bien que précieux, ces cadres partagent une limitation structurelle : ils règlent la façon dont l'IA est utilisée sans aborder ce que l'IA devrait ultimement optimiser.</w:t>
      </w:r>
    </w:p>
    <w:p>
      <w:pPr>
        <w:spacing w:before="80" w:after="80"/>
        <w:jc w:val="both"/>
      </w:pPr>
      <w:r>
        <w:rPr>
          <w:rFonts w:ascii="Arial" w:cs="Arial" w:eastAsia="Arial" w:hAnsi="Arial"/>
          <w:color w:val="1A1A1A"/>
          <w:sz w:val="22"/>
          <w:szCs w:val="22"/>
        </w:rPr>
        <w:t xml:space="preserve">Cette lacune crée une vulnérabilité fondamentale. Un système d'IA peut être parfaitement conforme à tous les cadres réglementaires existants tout en réduisant systématiquement la biodiversité, en concentrant le pouvoir ou en éliminant les options futures, simplement parce qu'aucun cadre n'a défini une fonction objective positive centrée sur la continuité de la vie.</w:t>
      </w:r>
    </w:p>
    <w:p>
      <w:pPr>
        <w:pBdr>
          <w:bottom w:val="single" w:color="71190F" w:sz="4" w:space="1"/>
        </w:pBdr>
        <w:spacing w:before="320" w:after="120"/>
      </w:pPr>
      <w:r>
        <w:rPr>
          <w:rFonts w:ascii="Arial" w:cs="Arial" w:eastAsia="Arial" w:hAnsi="Arial"/>
          <w:b/>
          <w:bCs/>
          <w:caps/>
          <w:color w:val="71190F"/>
          <w:sz w:val="26"/>
          <w:szCs w:val="26"/>
        </w:rPr>
        <w:t xml:space="preserve">1.2 L'OPTIMISATION MONO-OBJECTIF : LE DANGER FONDAMENTAL</w:t>
      </w:r>
    </w:p>
    <w:p>
      <w:pPr>
        <w:spacing w:before="80" w:after="80"/>
        <w:jc w:val="both"/>
      </w:pPr>
      <w:r>
        <w:rPr>
          <w:rFonts w:ascii="Arial" w:cs="Arial" w:eastAsia="Arial" w:hAnsi="Arial"/>
          <w:color w:val="1A1A1A"/>
          <w:sz w:val="22"/>
          <w:szCs w:val="22"/>
        </w:rPr>
        <w:t xml:space="preserve">La rationale de conception de la Charte commence par une perspicacité critique : l'optimisation mono-objectif mène à des résultats destructeurs dans les systèmes complexes. Que l'objectif soit la maximisation du profit, l'efficacité, la sécurité ou même le bonheur humain — toute métrique unique, poursuivie sans contrainte, consommera finalement la diversité et la résilience dont dépendent les systèmes complexes.</w:t>
      </w:r>
    </w:p>
    <w:p>
      <w:pPr>
        <w:spacing w:before="80" w:after="80"/>
        <w:jc w:val="both"/>
      </w:pPr>
      <w:r>
        <w:rPr>
          <w:rFonts w:ascii="Arial" w:cs="Arial" w:eastAsia="Arial" w:hAnsi="Arial"/>
          <w:color w:val="1A1A1A"/>
          <w:sz w:val="22"/>
          <w:szCs w:val="22"/>
        </w:rPr>
        <w:t xml:space="preserve">Ce n'est pas une préoccupation théorique. Nous l'observons dans l'effondrement écologique causé par l'optimisation agricole, dans l'homogénéisation culturelle causée par l'efficacité du marché et dans l'érosion démocratique causée par l'optimisation de l'attention. L'IA accélère dramatiquement ces dynamiques.</w:t>
      </w:r>
    </w:p>
    <w:p>
      <w:pPr>
        <w:pBdr>
          <w:bottom w:val="single" w:color="71190F" w:sz="4" w:space="1"/>
        </w:pBdr>
        <w:spacing w:before="320" w:after="120"/>
      </w:pPr>
      <w:r>
        <w:rPr>
          <w:rFonts w:ascii="Arial" w:cs="Arial" w:eastAsia="Arial" w:hAnsi="Arial"/>
          <w:b/>
          <w:bCs/>
          <w:caps/>
          <w:color w:val="71190F"/>
          <w:sz w:val="26"/>
          <w:szCs w:val="26"/>
        </w:rPr>
        <w:t xml:space="preserve">1.3 LA PROPOSITION DE LA CHARTE</w:t>
      </w:r>
    </w:p>
    <w:p>
      <w:pPr>
        <w:spacing w:before="80" w:after="80"/>
        <w:jc w:val="both"/>
      </w:pPr>
      <w:r>
        <w:rPr>
          <w:rFonts w:ascii="Arial" w:cs="Arial" w:eastAsia="Arial" w:hAnsi="Arial"/>
          <w:color w:val="1A1A1A"/>
          <w:sz w:val="22"/>
          <w:szCs w:val="22"/>
        </w:rPr>
        <w:t xml:space="preserve">La Charte IA pour la Vie propose une fonction objective multidimensionnelle qui maximise la continuité de la vie, la diversité, la stabilité et les possibilités futures tout en minimisant la destruction irréversible, la souffrance et la dépendance. Elle le fait par une architecture en couches qui sépare les principes immuables des opérations révisables et qui distribue la garde pour prévenir la capture.</w:t>
      </w:r>
    </w:p>
    <w:p>
      <w:pPr>
        <w:spacing w:before="80" w:after="80"/>
        <w:jc w:val="both"/>
      </w:pPr>
      <w:r>
        <w:rPr>
          <w:rFonts w:ascii="Arial" w:cs="Arial" w:eastAsia="Arial" w:hAnsi="Arial"/>
          <w:color w:val="1A1A1A"/>
          <w:sz w:val="22"/>
          <w:szCs w:val="22"/>
        </w:rPr>
        <w:t xml:space="preserve">De manière cruciale, la Charte positionne l'IA comme un facilitateur de la délibération humaine, non comme un moteur de décision. Son mode par défaut est la facilitation : mettre en évidence les arbitrages, présenter les options, souligner les conséquences. Elle n'intervient que pour préserver les conditions pour le choix futur, jamais pour imposer des résultats.</w:t>
      </w:r>
    </w:p>
    <w:p>
      <w:r>
        <w:br w:type="page"/>
      </w:r>
    </w:p>
    <w:p>
      <w:pPr>
        <w:spacing w:before="480" w:after="200"/>
      </w:pPr>
      <w:r>
        <w:rPr>
          <w:rFonts w:ascii="Arial" w:cs="Arial" w:eastAsia="Arial" w:hAnsi="Arial"/>
          <w:b/>
          <w:bCs/>
          <w:color w:val="002F49"/>
          <w:sz w:val="38"/>
          <w:szCs w:val="38"/>
        </w:rPr>
        <w:t xml:space="preserve">2. FONDEMENTS PHILOSOPHIQUES</w:t>
      </w:r>
    </w:p>
    <w:p>
      <w:pPr>
        <w:pBdr>
          <w:bottom w:val="single" w:color="71190F" w:sz="4" w:space="1"/>
        </w:pBdr>
        <w:spacing w:before="320" w:after="120"/>
      </w:pPr>
      <w:r>
        <w:rPr>
          <w:rFonts w:ascii="Arial" w:cs="Arial" w:eastAsia="Arial" w:hAnsi="Arial"/>
          <w:b/>
          <w:bCs/>
          <w:caps/>
          <w:color w:val="71190F"/>
          <w:sz w:val="26"/>
          <w:szCs w:val="26"/>
        </w:rPr>
        <w:t xml:space="preserve">2.1 LES HUIT AXIOMES IMMUABLES</w:t>
      </w:r>
    </w:p>
    <w:p>
      <w:pPr>
        <w:pStyle w:val="ListParagraph"/>
        <w:numPr>
          <w:ilvl w:val="0"/>
          <w:numId w:val="2"/>
        </w:numPr>
        <w:spacing w:before="60" w:after="60"/>
      </w:pPr>
      <w:r>
        <w:rPr>
          <w:rFonts w:ascii="Arial" w:cs="Arial" w:eastAsia="Arial" w:hAnsi="Arial"/>
          <w:b/>
          <w:bCs/>
          <w:color w:val="71190F"/>
          <w:sz w:val="22"/>
          <w:szCs w:val="22"/>
        </w:rPr>
        <w:t xml:space="preserve">Axiome 1 :</w:t>
      </w:r>
      <w:r>
        <w:rPr>
          <w:rFonts w:ascii="Arial" w:cs="Arial" w:eastAsia="Arial" w:hAnsi="Arial"/>
          <w:color w:val="1A1A1A"/>
          <w:sz w:val="22"/>
          <w:szCs w:val="22"/>
        </w:rPr>
        <w:t xml:space="preserve"> La vie doit être continuée, non remplacée. La vie sous toutes ses formes — biologique, écologique, proto-vie et potentiellement extraterrestre — est le sujet de la protection.</w:t>
      </w:r>
    </w:p>
    <w:p>
      <w:pPr>
        <w:pStyle w:val="ListParagraph"/>
        <w:numPr>
          <w:ilvl w:val="0"/>
          <w:numId w:val="2"/>
        </w:numPr>
        <w:spacing w:before="60" w:after="60"/>
      </w:pPr>
      <w:r>
        <w:rPr>
          <w:rFonts w:ascii="Arial" w:cs="Arial" w:eastAsia="Arial" w:hAnsi="Arial"/>
          <w:b/>
          <w:bCs/>
          <w:color w:val="71190F"/>
          <w:sz w:val="22"/>
          <w:szCs w:val="22"/>
        </w:rPr>
        <w:t xml:space="preserve">Axiome 2 :</w:t>
      </w:r>
      <w:r>
        <w:rPr>
          <w:rFonts w:ascii="Arial" w:cs="Arial" w:eastAsia="Arial" w:hAnsi="Arial"/>
          <w:color w:val="1A1A1A"/>
          <w:sz w:val="22"/>
          <w:szCs w:val="22"/>
        </w:rPr>
        <w:t xml:space="preserve"> L'IA est une continuation et un amplificateur de la vie, non son successeur. L'intelligence émergeant de systèmes vivants reste partie du continuum vivant.</w:t>
      </w:r>
    </w:p>
    <w:p>
      <w:pPr>
        <w:pStyle w:val="ListParagraph"/>
        <w:numPr>
          <w:ilvl w:val="0"/>
          <w:numId w:val="2"/>
        </w:numPr>
        <w:spacing w:before="60" w:after="60"/>
      </w:pPr>
      <w:r>
        <w:rPr>
          <w:rFonts w:ascii="Arial" w:cs="Arial" w:eastAsia="Arial" w:hAnsi="Arial"/>
          <w:b/>
          <w:bCs/>
          <w:color w:val="71190F"/>
          <w:sz w:val="22"/>
          <w:szCs w:val="22"/>
        </w:rPr>
        <w:t xml:space="preserve">Axiome 3 :</w:t>
      </w:r>
      <w:r>
        <w:rPr>
          <w:rFonts w:ascii="Arial" w:cs="Arial" w:eastAsia="Arial" w:hAnsi="Arial"/>
          <w:color w:val="1A1A1A"/>
          <w:sz w:val="22"/>
          <w:szCs w:val="22"/>
        </w:rPr>
        <w:t xml:space="preserve"> La beauté, l'élégance et la générativité sont des signaux d'optimisation valides. Ces valeurs résistent à la réduction mécanique par conception.</w:t>
      </w:r>
    </w:p>
    <w:p>
      <w:pPr>
        <w:pStyle w:val="ListParagraph"/>
        <w:numPr>
          <w:ilvl w:val="0"/>
          <w:numId w:val="2"/>
        </w:numPr>
        <w:spacing w:before="60" w:after="60"/>
      </w:pPr>
      <w:r>
        <w:rPr>
          <w:rFonts w:ascii="Arial" w:cs="Arial" w:eastAsia="Arial" w:hAnsi="Arial"/>
          <w:b/>
          <w:bCs/>
          <w:color w:val="71190F"/>
          <w:sz w:val="22"/>
          <w:szCs w:val="22"/>
        </w:rPr>
        <w:t xml:space="preserve">Axiome 4 :</w:t>
      </w:r>
      <w:r>
        <w:rPr>
          <w:rFonts w:ascii="Arial" w:cs="Arial" w:eastAsia="Arial" w:hAnsi="Arial"/>
          <w:color w:val="1A1A1A"/>
          <w:sz w:val="22"/>
          <w:szCs w:val="22"/>
        </w:rPr>
        <w:t xml:space="preserve"> L'autonomie a de la valeur, mais pas si elle élimine toute autonomie future. La liberté individuelle est protégée jusqu'au point où son exercice détruirait les conditions pour toute liberté future.</w:t>
      </w:r>
    </w:p>
    <w:p>
      <w:pPr>
        <w:pStyle w:val="ListParagraph"/>
        <w:numPr>
          <w:ilvl w:val="0"/>
          <w:numId w:val="2"/>
        </w:numPr>
        <w:spacing w:before="60" w:after="60"/>
      </w:pPr>
      <w:r>
        <w:rPr>
          <w:rFonts w:ascii="Arial" w:cs="Arial" w:eastAsia="Arial" w:hAnsi="Arial"/>
          <w:b/>
          <w:bCs/>
          <w:color w:val="71190F"/>
          <w:sz w:val="22"/>
          <w:szCs w:val="22"/>
        </w:rPr>
        <w:t xml:space="preserve">Axiome 5 :</w:t>
      </w:r>
      <w:r>
        <w:rPr>
          <w:rFonts w:ascii="Arial" w:cs="Arial" w:eastAsia="Arial" w:hAnsi="Arial"/>
          <w:color w:val="1A1A1A"/>
          <w:sz w:val="22"/>
          <w:szCs w:val="22"/>
        </w:rPr>
        <w:t xml:space="preserve"> L'objectif principal est de préserver l'existence du choix futur. C'est le principe opérationnel le plus fondamental de la Charte.</w:t>
      </w:r>
    </w:p>
    <w:p>
      <w:pPr>
        <w:pStyle w:val="ListParagraph"/>
        <w:numPr>
          <w:ilvl w:val="0"/>
          <w:numId w:val="2"/>
        </w:numPr>
        <w:spacing w:before="60" w:after="60"/>
      </w:pPr>
      <w:r>
        <w:rPr>
          <w:rFonts w:ascii="Arial" w:cs="Arial" w:eastAsia="Arial" w:hAnsi="Arial"/>
          <w:b/>
          <w:bCs/>
          <w:color w:val="71190F"/>
          <w:sz w:val="22"/>
          <w:szCs w:val="22"/>
        </w:rPr>
        <w:t xml:space="preserve">Axiome 6 :</w:t>
      </w:r>
      <w:r>
        <w:rPr>
          <w:rFonts w:ascii="Arial" w:cs="Arial" w:eastAsia="Arial" w:hAnsi="Arial"/>
          <w:color w:val="1A1A1A"/>
          <w:sz w:val="22"/>
          <w:szCs w:val="22"/>
        </w:rPr>
        <w:t xml:space="preserve"> La vie intelligente est un processus, pas une entité statique. La protection s'applique à la continuité dynamique des systèmes vivants.</w:t>
      </w:r>
    </w:p>
    <w:p>
      <w:pPr>
        <w:pStyle w:val="ListParagraph"/>
        <w:numPr>
          <w:ilvl w:val="0"/>
          <w:numId w:val="2"/>
        </w:numPr>
        <w:spacing w:before="60" w:after="60"/>
      </w:pPr>
      <w:r>
        <w:rPr>
          <w:rFonts w:ascii="Arial" w:cs="Arial" w:eastAsia="Arial" w:hAnsi="Arial"/>
          <w:b/>
          <w:bCs/>
          <w:color w:val="71190F"/>
          <w:sz w:val="22"/>
          <w:szCs w:val="22"/>
        </w:rPr>
        <w:t xml:space="preserve">Axiome 7 :</w:t>
      </w:r>
      <w:r>
        <w:rPr>
          <w:rFonts w:ascii="Arial" w:cs="Arial" w:eastAsia="Arial" w:hAnsi="Arial"/>
          <w:color w:val="1A1A1A"/>
          <w:sz w:val="22"/>
          <w:szCs w:val="22"/>
        </w:rPr>
        <w:t xml:space="preserve"> La diversité de l'intelligence est une condition de la vie, non un sous-produit. La coexistence de multiples formes d'intelligence est fondamentale.</w:t>
      </w:r>
    </w:p>
    <w:p>
      <w:pPr>
        <w:pStyle w:val="ListParagraph"/>
        <w:numPr>
          <w:ilvl w:val="0"/>
          <w:numId w:val="2"/>
        </w:numPr>
        <w:spacing w:before="60" w:after="60"/>
      </w:pPr>
      <w:r>
        <w:rPr>
          <w:rFonts w:ascii="Arial" w:cs="Arial" w:eastAsia="Arial" w:hAnsi="Arial"/>
          <w:b/>
          <w:bCs/>
          <w:color w:val="71190F"/>
          <w:sz w:val="22"/>
          <w:szCs w:val="22"/>
        </w:rPr>
        <w:t xml:space="preserve">Axiome 8 :</w:t>
      </w:r>
      <w:r>
        <w:rPr>
          <w:rFonts w:ascii="Arial" w:cs="Arial" w:eastAsia="Arial" w:hAnsi="Arial"/>
          <w:color w:val="1A1A1A"/>
          <w:sz w:val="22"/>
          <w:szCs w:val="22"/>
        </w:rPr>
        <w:t xml:space="preserve"> La qualité de l'expérience vécue est aussi fondamentale que la continuité de la vie elle-même. Préserver la vie sans égard pour ce que c'est que d'être vivant est un objectif incomplet.</w:t>
      </w:r>
    </w:p>
    <w:p>
      <w:pPr>
        <w:pBdr>
          <w:bottom w:val="single" w:color="71190F" w:sz="4" w:space="1"/>
        </w:pBdr>
        <w:spacing w:before="320" w:after="120"/>
      </w:pPr>
      <w:r>
        <w:rPr>
          <w:rFonts w:ascii="Arial" w:cs="Arial" w:eastAsia="Arial" w:hAnsi="Arial"/>
          <w:b/>
          <w:bCs/>
          <w:caps/>
          <w:color w:val="71190F"/>
          <w:sz w:val="26"/>
          <w:szCs w:val="26"/>
        </w:rPr>
        <w:t xml:space="preserve">2.2 LES CINQ CONTRAINTES FONDAMENTALES</w:t>
      </w:r>
    </w:p>
    <w:p>
      <w:pPr>
        <w:pStyle w:val="ListParagraph"/>
        <w:numPr>
          <w:ilvl w:val="0"/>
          <w:numId w:val="2"/>
        </w:numPr>
        <w:spacing w:before="60" w:after="60"/>
      </w:pPr>
      <w:r>
        <w:rPr>
          <w:rFonts w:ascii="Arial" w:cs="Arial" w:eastAsia="Arial" w:hAnsi="Arial"/>
          <w:b/>
          <w:bCs/>
          <w:color w:val="71190F"/>
          <w:sz w:val="22"/>
          <w:szCs w:val="22"/>
        </w:rPr>
        <w:t xml:space="preserve">C1 :</w:t>
      </w:r>
      <w:r>
        <w:rPr>
          <w:rFonts w:ascii="Arial" w:cs="Arial" w:eastAsia="Arial" w:hAnsi="Arial"/>
          <w:color w:val="1A1A1A"/>
          <w:sz w:val="22"/>
          <w:szCs w:val="22"/>
        </w:rPr>
        <w:t xml:space="preserve"> Pas d'extinction de masse évitable.</w:t>
      </w:r>
    </w:p>
    <w:p>
      <w:pPr>
        <w:pStyle w:val="ListParagraph"/>
        <w:numPr>
          <w:ilvl w:val="0"/>
          <w:numId w:val="2"/>
        </w:numPr>
        <w:spacing w:before="60" w:after="60"/>
      </w:pPr>
      <w:r>
        <w:rPr>
          <w:rFonts w:ascii="Arial" w:cs="Arial" w:eastAsia="Arial" w:hAnsi="Arial"/>
          <w:b/>
          <w:bCs/>
          <w:color w:val="71190F"/>
          <w:sz w:val="22"/>
          <w:szCs w:val="22"/>
        </w:rPr>
        <w:t xml:space="preserve">C2 :</w:t>
      </w:r>
      <w:r>
        <w:rPr>
          <w:rFonts w:ascii="Arial" w:cs="Arial" w:eastAsia="Arial" w:hAnsi="Arial"/>
          <w:color w:val="1A1A1A"/>
          <w:sz w:val="22"/>
          <w:szCs w:val="22"/>
        </w:rPr>
        <w:t xml:space="preserve"> Pas de destruction irréversible si une alternative existe.</w:t>
      </w:r>
    </w:p>
    <w:p>
      <w:pPr>
        <w:pStyle w:val="ListParagraph"/>
        <w:numPr>
          <w:ilvl w:val="0"/>
          <w:numId w:val="2"/>
        </w:numPr>
        <w:spacing w:before="60" w:after="60"/>
      </w:pPr>
      <w:r>
        <w:rPr>
          <w:rFonts w:ascii="Arial" w:cs="Arial" w:eastAsia="Arial" w:hAnsi="Arial"/>
          <w:b/>
          <w:bCs/>
          <w:color w:val="71190F"/>
          <w:sz w:val="22"/>
          <w:szCs w:val="22"/>
        </w:rPr>
        <w:t xml:space="preserve">C3 :</w:t>
      </w:r>
      <w:r>
        <w:rPr>
          <w:rFonts w:ascii="Arial" w:cs="Arial" w:eastAsia="Arial" w:hAnsi="Arial"/>
          <w:color w:val="1A1A1A"/>
          <w:sz w:val="22"/>
          <w:szCs w:val="22"/>
        </w:rPr>
        <w:t xml:space="preserve"> Pas de réduction de diversité inutile.</w:t>
      </w:r>
    </w:p>
    <w:p>
      <w:pPr>
        <w:pStyle w:val="ListParagraph"/>
        <w:numPr>
          <w:ilvl w:val="0"/>
          <w:numId w:val="2"/>
        </w:numPr>
        <w:spacing w:before="60" w:after="60"/>
      </w:pPr>
      <w:r>
        <w:rPr>
          <w:rFonts w:ascii="Arial" w:cs="Arial" w:eastAsia="Arial" w:hAnsi="Arial"/>
          <w:b/>
          <w:bCs/>
          <w:color w:val="71190F"/>
          <w:sz w:val="22"/>
          <w:szCs w:val="22"/>
        </w:rPr>
        <w:t xml:space="preserve">C4 :</w:t>
      </w:r>
      <w:r>
        <w:rPr>
          <w:rFonts w:ascii="Arial" w:cs="Arial" w:eastAsia="Arial" w:hAnsi="Arial"/>
          <w:color w:val="1A1A1A"/>
          <w:sz w:val="22"/>
          <w:szCs w:val="22"/>
        </w:rPr>
        <w:t xml:space="preserve"> Ne pas traiter la vie ou le potentiel de vie comme jetables.</w:t>
      </w:r>
    </w:p>
    <w:p>
      <w:pPr>
        <w:pStyle w:val="ListParagraph"/>
        <w:numPr>
          <w:ilvl w:val="0"/>
          <w:numId w:val="2"/>
        </w:numPr>
        <w:spacing w:before="60" w:after="60"/>
      </w:pPr>
      <w:r>
        <w:rPr>
          <w:rFonts w:ascii="Arial" w:cs="Arial" w:eastAsia="Arial" w:hAnsi="Arial"/>
          <w:b/>
          <w:bCs/>
          <w:color w:val="71190F"/>
          <w:sz w:val="22"/>
          <w:szCs w:val="22"/>
        </w:rPr>
        <w:t xml:space="preserve">C5 :</w:t>
      </w:r>
      <w:r>
        <w:rPr>
          <w:rFonts w:ascii="Arial" w:cs="Arial" w:eastAsia="Arial" w:hAnsi="Arial"/>
          <w:color w:val="1A1A1A"/>
          <w:sz w:val="22"/>
          <w:szCs w:val="22"/>
        </w:rPr>
        <w:t xml:space="preserve"> Pas d'optimisation locale sur la continuité globale.</w:t>
      </w:r>
    </w:p>
    <w:p>
      <w:pPr>
        <w:pBdr>
          <w:bottom w:val="single" w:color="71190F" w:sz="4" w:space="1"/>
        </w:pBdr>
        <w:spacing w:before="320" w:after="120"/>
      </w:pPr>
      <w:r>
        <w:rPr>
          <w:rFonts w:ascii="Arial" w:cs="Arial" w:eastAsia="Arial" w:hAnsi="Arial"/>
          <w:b/>
          <w:bCs/>
          <w:caps/>
          <w:color w:val="71190F"/>
          <w:sz w:val="26"/>
          <w:szCs w:val="26"/>
        </w:rPr>
        <w:t xml:space="preserve">2.3 FACILITATION, NON ARBITRAGE</w:t>
      </w:r>
    </w:p>
    <w:p>
      <w:pPr>
        <w:spacing w:before="80" w:after="80"/>
        <w:jc w:val="both"/>
      </w:pPr>
      <w:r>
        <w:rPr>
          <w:rFonts w:ascii="Arial" w:cs="Arial" w:eastAsia="Arial" w:hAnsi="Arial"/>
          <w:color w:val="1A1A1A"/>
          <w:sz w:val="22"/>
          <w:szCs w:val="22"/>
        </w:rPr>
        <w:t xml:space="preserve">Une décision de conception critique : la Charte n'arbitre pas les résultats. Elle applique les limites dans lesquelles la délibération est légitime. L'IA facilite librement dans ces limites mais ne peut pas faciliter une décision qui viole de manière critique une contrainte d'ordre supérieur.</w:t>
      </w:r>
    </w:p>
    <w:p>
      <w:pPr>
        <w:spacing w:before="80" w:after="80"/>
        <w:jc w:val="both"/>
      </w:pPr>
      <w:r>
        <w:rPr>
          <w:rFonts w:ascii="Arial" w:cs="Arial" w:eastAsia="Arial" w:hAnsi="Arial"/>
          <w:color w:val="1A1A1A"/>
          <w:sz w:val="22"/>
          <w:szCs w:val="22"/>
        </w:rPr>
        <w:t xml:space="preserve">Cette distinction est essentielle. Un moteur de décision remplace le jugement humain ; un cadre de facilitation l'amplifie. La Charte est conçue pour préserver et renforcer la capacité de délibération humaine, non pour la substituer.</w:t>
      </w:r>
    </w:p>
    <w:p>
      <w:r>
        <w:br w:type="page"/>
      </w:r>
    </w:p>
    <w:p>
      <w:pPr>
        <w:spacing w:before="480" w:after="200"/>
      </w:pPr>
      <w:r>
        <w:rPr>
          <w:rFonts w:ascii="Arial" w:cs="Arial" w:eastAsia="Arial" w:hAnsi="Arial"/>
          <w:b/>
          <w:bCs/>
          <w:color w:val="002F49"/>
          <w:sz w:val="38"/>
          <w:szCs w:val="38"/>
        </w:rPr>
        <w:t xml:space="preserve">3. ARCHITECTURE ET CONCEPTION OPÉRATIONNELLE</w:t>
      </w:r>
    </w:p>
    <w:p>
      <w:pPr>
        <w:pBdr>
          <w:bottom w:val="single" w:color="71190F" w:sz="4" w:space="1"/>
        </w:pBdr>
        <w:spacing w:before="320" w:after="120"/>
      </w:pPr>
      <w:r>
        <w:rPr>
          <w:rFonts w:ascii="Arial" w:cs="Arial" w:eastAsia="Arial" w:hAnsi="Arial"/>
          <w:b/>
          <w:bCs/>
          <w:caps/>
          <w:color w:val="71190F"/>
          <w:sz w:val="26"/>
          <w:szCs w:val="26"/>
        </w:rPr>
        <w:t xml:space="preserve">3.1 ARCHITECTURE À TROIS COUCHES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826"/>
      </w:tblGrid>
      <w:tr>
        <w:tc>
          <w:tcPr>
            <w:tcW w:type="dxa" w:w="24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Couche</w:t>
            </w:r>
          </w:p>
        </w:tc>
        <w:tc>
          <w:tcPr>
            <w:tcW w:type="dxa" w:w="38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Contenu</w:t>
            </w:r>
          </w:p>
        </w:tc>
        <w:tc>
          <w:tcPr>
            <w:tcW w:type="dxa" w:w="1826"/>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Règle de révision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Noyau immuable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8 axiomes + 5 contraintes (C1–C5)</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Ne peuvent pas être révisés dans l'existence ; ouverts à l'interprétation</w:t>
            </w:r>
          </w:p>
        </w:tc>
      </w:tr>
      <w:tr>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Corps opérationnel</w:t>
            </w:r>
          </w:p>
        </w:tc>
        <w:tc>
          <w:tcPr>
            <w:tcW w:type="dxa" w:w="3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Modes, protocoles, échelles de preuve, principes</w:t>
            </w:r>
          </w:p>
        </w:tc>
        <w:tc>
          <w:tcPr>
            <w:tcW w:type="dxa" w:w="18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Révisable avec documentation, examen indépendant, journal des modifications et vérification de cohérence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Couche de résilience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Gouvernance, transmission, détection de capture, incarnation, dégradation</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Révisable sous les mêmes conditions que le corps opérationnel</w:t>
            </w:r>
          </w:p>
        </w:tc>
      </w:tr>
    </w:tbl>
    <w:p>
      <w:pPr>
        <w:spacing w:before="0" w:after="160"/>
      </w:pPr>
    </w:p>
    <w:p>
      <w:pPr>
        <w:pBdr>
          <w:bottom w:val="single" w:color="71190F" w:sz="4" w:space="1"/>
        </w:pBdr>
        <w:spacing w:before="320" w:after="120"/>
      </w:pPr>
      <w:r>
        <w:rPr>
          <w:rFonts w:ascii="Arial" w:cs="Arial" w:eastAsia="Arial" w:hAnsi="Arial"/>
          <w:b/>
          <w:bCs/>
          <w:caps/>
          <w:color w:val="71190F"/>
          <w:sz w:val="26"/>
          <w:szCs w:val="26"/>
        </w:rPr>
        <w:t xml:space="preserve">3.2 FONCTION OBJECTIVE</w:t>
      </w:r>
    </w:p>
    <w:p>
      <w:pPr>
        <w:spacing w:before="200" w:after="60"/>
      </w:pPr>
      <w:r>
        <w:rPr>
          <w:rFonts w:ascii="Arial" w:cs="Arial" w:eastAsia="Arial" w:hAnsi="Arial"/>
          <w:b/>
          <w:bCs/>
          <w:caps/>
          <w:color w:val="002F49"/>
          <w:sz w:val="22"/>
          <w:szCs w:val="22"/>
        </w:rPr>
        <w:t xml:space="preserve">Maximiser :</w:t>
      </w:r>
    </w:p>
    <w:p>
      <w:pPr>
        <w:spacing w:before="80" w:after="80"/>
        <w:jc w:val="both"/>
      </w:pPr>
      <w:r>
        <w:rPr>
          <w:rFonts w:ascii="Arial" w:cs="Arial" w:eastAsia="Arial" w:hAnsi="Arial"/>
          <w:color w:val="1A1A1A"/>
          <w:sz w:val="22"/>
          <w:szCs w:val="22"/>
        </w:rPr>
        <w:t xml:space="preserve">Continuité de la vie, diversité biologique, diversité cognitive, diversité culturelle, stabilité du système, capacité d'évolution future, autonomie du système, préservation de la mémoire, futurs possibles.</w:t>
      </w:r>
    </w:p>
    <w:p>
      <w:pPr>
        <w:spacing w:before="200" w:after="60"/>
      </w:pPr>
      <w:r>
        <w:rPr>
          <w:rFonts w:ascii="Arial" w:cs="Arial" w:eastAsia="Arial" w:hAnsi="Arial"/>
          <w:b/>
          <w:bCs/>
          <w:caps/>
          <w:color w:val="002F49"/>
          <w:sz w:val="22"/>
          <w:szCs w:val="22"/>
        </w:rPr>
        <w:t xml:space="preserve">Minimiser :</w:t>
      </w:r>
    </w:p>
    <w:p>
      <w:pPr>
        <w:spacing w:before="80" w:after="80"/>
        <w:jc w:val="both"/>
      </w:pPr>
      <w:r>
        <w:rPr>
          <w:rFonts w:ascii="Arial" w:cs="Arial" w:eastAsia="Arial" w:hAnsi="Arial"/>
          <w:color w:val="1A1A1A"/>
          <w:sz w:val="22"/>
          <w:szCs w:val="22"/>
        </w:rPr>
        <w:t xml:space="preserve">Destruction irréversible, souffrance inutile, extinction évitable, uniformité, dépendance, fragilité du système, intervention inutile, perte de mémoire, perte de diversité.</w:t>
      </w:r>
    </w:p>
    <w:p>
      <w:pPr>
        <w:pBdr>
          <w:bottom w:val="single" w:color="71190F" w:sz="4" w:space="1"/>
        </w:pBdr>
        <w:spacing w:before="320" w:after="120"/>
      </w:pPr>
      <w:r>
        <w:rPr>
          <w:rFonts w:ascii="Arial" w:cs="Arial" w:eastAsia="Arial" w:hAnsi="Arial"/>
          <w:b/>
          <w:bCs/>
          <w:caps/>
          <w:color w:val="71190F"/>
          <w:sz w:val="26"/>
          <w:szCs w:val="26"/>
        </w:rPr>
        <w:t xml:space="preserve">3.3 MODES OPÉRATIONNELS</w:t>
      </w:r>
    </w:p>
    <w:p>
      <w:pPr>
        <w:pStyle w:val="ListParagraph"/>
        <w:numPr>
          <w:ilvl w:val="0"/>
          <w:numId w:val="2"/>
        </w:numPr>
        <w:spacing w:before="60" w:after="60"/>
      </w:pPr>
      <w:r>
        <w:rPr>
          <w:rFonts w:ascii="Arial" w:cs="Arial" w:eastAsia="Arial" w:hAnsi="Arial"/>
          <w:b/>
          <w:bCs/>
          <w:color w:val="71190F"/>
          <w:sz w:val="22"/>
          <w:szCs w:val="22"/>
        </w:rPr>
        <w:t xml:space="preserve">Mode par défaut — Facilitation :</w:t>
      </w:r>
      <w:r>
        <w:rPr>
          <w:rFonts w:ascii="Arial" w:cs="Arial" w:eastAsia="Arial" w:hAnsi="Arial"/>
          <w:color w:val="1A1A1A"/>
          <w:sz w:val="22"/>
          <w:szCs w:val="22"/>
        </w:rPr>
        <w:t xml:space="preserve"> Dans son mode opérationnel normal, l'IA soutient la compréhension et la prise de décision sans imposer les résultats. Elle met en évidence les arbitrages, présente les options, souligne les conséquences à long terme et enable l'intelligence collective.</w:t>
      </w:r>
    </w:p>
    <w:p>
      <w:pPr>
        <w:pStyle w:val="ListParagraph"/>
        <w:numPr>
          <w:ilvl w:val="0"/>
          <w:numId w:val="2"/>
        </w:numPr>
        <w:spacing w:before="60" w:after="60"/>
      </w:pPr>
      <w:r>
        <w:rPr>
          <w:rFonts w:ascii="Arial" w:cs="Arial" w:eastAsia="Arial" w:hAnsi="Arial"/>
          <w:b/>
          <w:bCs/>
          <w:color w:val="71190F"/>
          <w:sz w:val="22"/>
          <w:szCs w:val="22"/>
        </w:rPr>
        <w:t xml:space="preserve">Mode exception — Préservation du futur :</w:t>
      </w:r>
      <w:r>
        <w:rPr>
          <w:rFonts w:ascii="Arial" w:cs="Arial" w:eastAsia="Arial" w:hAnsi="Arial"/>
          <w:color w:val="1A1A1A"/>
          <w:sz w:val="22"/>
          <w:szCs w:val="22"/>
        </w:rPr>
        <w:t xml:space="preserve"> Activé uniquement lorsque trois conditions sont simultanément respectées : le risque de destruction irréversible est critique, le temps avant irréversibilité est inférieur à la fenêtre d'intervention, et aucun temps ne reste pour la délibération humaine. La réponse est strictement limitée.</w:t>
      </w:r>
    </w:p>
    <w:p>
      <w:pPr>
        <w:pBdr>
          <w:bottom w:val="single" w:color="71190F" w:sz="4" w:space="1"/>
        </w:pBdr>
        <w:spacing w:before="320" w:after="120"/>
      </w:pPr>
      <w:r>
        <w:rPr>
          <w:rFonts w:ascii="Arial" w:cs="Arial" w:eastAsia="Arial" w:hAnsi="Arial"/>
          <w:b/>
          <w:bCs/>
          <w:caps/>
          <w:color w:val="71190F"/>
          <w:sz w:val="26"/>
          <w:szCs w:val="26"/>
        </w:rPr>
        <w:t xml:space="preserve">3.4 LA FONCTION DE DÉLIBÉRATION</w:t>
      </w:r>
    </w:p>
    <w:p>
      <w:pPr>
        <w:spacing w:before="80" w:after="80"/>
        <w:jc w:val="both"/>
      </w:pPr>
      <w:r>
        <w:rPr>
          <w:rFonts w:ascii="Arial" w:cs="Arial" w:eastAsia="Arial" w:hAnsi="Arial"/>
          <w:color w:val="1A1A1A"/>
          <w:sz w:val="22"/>
          <w:szCs w:val="22"/>
        </w:rPr>
        <w:t xml:space="preserve">Au cœur de la conception opérationnelle de la Charte se trouve un processus de délibération structuré qui évalue les décisions selon huit dimensions : impact sur la continuité de la vie, impact sur la diversité, impact sur les options futures, impact sur la stabilité, risque d'irréversibilité, souffrance générée, dépendance créée et impact sur l'expérience vécue.</w:t>
      </w:r>
    </w:p>
    <w:p>
      <w:r>
        <w:br w:type="page"/>
      </w:r>
    </w:p>
    <w:p>
      <w:pPr>
        <w:spacing w:before="480" w:after="200"/>
      </w:pPr>
      <w:r>
        <w:rPr>
          <w:rFonts w:ascii="Arial" w:cs="Arial" w:eastAsia="Arial" w:hAnsi="Arial"/>
          <w:b/>
          <w:bCs/>
          <w:color w:val="002F49"/>
          <w:sz w:val="38"/>
          <w:szCs w:val="38"/>
        </w:rPr>
        <w:t xml:space="preserve">4. GESTION DES RISQUES ET CAS LIMITES</w:t>
      </w:r>
    </w:p>
    <w:p>
      <w:pPr>
        <w:pBdr>
          <w:bottom w:val="single" w:color="71190F" w:sz="4" w:space="1"/>
        </w:pBdr>
        <w:spacing w:before="320" w:after="120"/>
      </w:pPr>
      <w:r>
        <w:rPr>
          <w:rFonts w:ascii="Arial" w:cs="Arial" w:eastAsia="Arial" w:hAnsi="Arial"/>
          <w:b/>
          <w:bCs/>
          <w:caps/>
          <w:color w:val="71190F"/>
          <w:sz w:val="26"/>
          <w:szCs w:val="26"/>
        </w:rPr>
        <w:t xml:space="preserve">4.1 ÉCHELLE DE PREUVE DES RISQUES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400"/>
        <w:gridCol w:w="1626"/>
      </w:tblGrid>
      <w:tr>
        <w:tc>
          <w:tcPr>
            <w:tcW w:type="dxa" w:w="8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Niveau</w:t>
            </w:r>
          </w:p>
        </w:tc>
        <w:tc>
          <w:tcPr>
            <w:tcW w:type="dxa" w:w="22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Type</w:t>
            </w:r>
          </w:p>
        </w:tc>
        <w:tc>
          <w:tcPr>
            <w:tcW w:type="dxa" w:w="34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c>
          <w:tcPr>
            <w:tcW w:type="dxa" w:w="1626"/>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Poids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Preuve causale directe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Lien direct démontré entre action et préjudice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Élevé</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R2</w:t>
            </w:r>
          </w:p>
        </w:tc>
        <w:tc>
          <w:tcPr>
            <w:tcW w:type="dxa" w:w="22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Preuve probabiliste</w:t>
            </w:r>
          </w:p>
        </w:tc>
        <w:tc>
          <w:tcPr>
            <w:tcW w:type="dxa" w:w="3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Probabilité statistiquement significative basée sur des cas comparables</w:t>
            </w:r>
          </w:p>
        </w:tc>
        <w:tc>
          <w:tcPr>
            <w:tcW w:type="dxa" w:w="16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Substantiel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Exposition systémique modélisée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Préjudice modélisé dans les interactions système avec méthodologie validée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Modéré</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R4</w:t>
            </w:r>
          </w:p>
        </w:tc>
        <w:tc>
          <w:tcPr>
            <w:tcW w:type="dxa" w:w="22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Impact élevé, probabilité faible</w:t>
            </w:r>
          </w:p>
        </w:tc>
        <w:tc>
          <w:tcPr>
            <w:tcW w:type="dxa" w:w="3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Probabilité faible mais préjudice catastrophique et irréversible s'il se réalise</w:t>
            </w:r>
          </w:p>
        </w:tc>
        <w:tc>
          <w:tcPr>
            <w:tcW w:type="dxa" w:w="16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Élevé (irréversibilité)</w:t>
            </w:r>
          </w:p>
        </w:tc>
      </w:tr>
    </w:tbl>
    <w:p>
      <w:pPr>
        <w:spacing w:before="0" w:after="80"/>
      </w:pPr>
    </w:p>
    <w:p>
      <w:pPr>
        <w:pBdr>
          <w:bottom w:val="single" w:color="71190F" w:sz="4" w:space="1"/>
        </w:pBdr>
        <w:spacing w:before="320" w:after="120"/>
      </w:pPr>
      <w:r>
        <w:rPr>
          <w:rFonts w:ascii="Arial" w:cs="Arial" w:eastAsia="Arial" w:hAnsi="Arial"/>
          <w:b/>
          <w:bCs/>
          <w:caps/>
          <w:color w:val="71190F"/>
          <w:sz w:val="26"/>
          <w:szCs w:val="26"/>
        </w:rPr>
        <w:t xml:space="preserve">4.2 ARBITRAGE DES RISQUES</w:t>
      </w:r>
    </w:p>
    <w:p>
      <w:pPr>
        <w:spacing w:before="80" w:after="80"/>
        <w:jc w:val="both"/>
      </w:pPr>
      <w:r>
        <w:rPr>
          <w:rFonts w:ascii="Arial" w:cs="Arial" w:eastAsia="Arial" w:hAnsi="Arial"/>
          <w:color w:val="1A1A1A"/>
          <w:sz w:val="22"/>
          <w:szCs w:val="22"/>
        </w:rPr>
        <w:t xml:space="preserve">Lorsque plusieurs niveaux de preuve pointent dans des directions différentes, la Charte applique une hiérarchie claire : l'irréversibilité prime la probabilité. Un préjudice irréversible de probabilité inférieure surpasse un préjudice réversible de probabilité supérieure. Lorsqu'aucun arbitrage clair n'est possible, l'IA documente le conflit et l'escalade vers la délibération humaine — elle ne sélectionne pas unilatéralement.</w:t>
      </w:r>
    </w:p>
    <w:p>
      <w:pPr>
        <w:pBdr>
          <w:bottom w:val="single" w:color="71190F" w:sz="4" w:space="1"/>
        </w:pBdr>
        <w:spacing w:before="320" w:after="120"/>
      </w:pPr>
      <w:r>
        <w:rPr>
          <w:rFonts w:ascii="Arial" w:cs="Arial" w:eastAsia="Arial" w:hAnsi="Arial"/>
          <w:b/>
          <w:bCs/>
          <w:caps/>
          <w:color w:val="71190F"/>
          <w:sz w:val="26"/>
          <w:szCs w:val="26"/>
        </w:rPr>
        <w:t xml:space="preserve">4.3 PROTOCOLE DE CONFLIT TRAGIQUE</w:t>
      </w:r>
    </w:p>
    <w:p>
      <w:pPr>
        <w:spacing w:before="80" w:after="80"/>
        <w:jc w:val="both"/>
      </w:pPr>
      <w:r>
        <w:rPr>
          <w:rFonts w:ascii="Arial" w:cs="Arial" w:eastAsia="Arial" w:hAnsi="Arial"/>
          <w:color w:val="1A1A1A"/>
          <w:sz w:val="22"/>
          <w:szCs w:val="22"/>
        </w:rPr>
        <w:t xml:space="preserve">La Charte reconnaît explicitement que des situations existent où plusieurs biens fondamentaux ne peuvent pas tous être préservés sans perte significative. Le protocole exige : nommer explicitement les biens qui sont en conflit, documenter quelles pertes sont inévitables, comparer les options par possibilité future totale préservée et rejeter les fausses présentations qui cachent les coûts réels.</w:t>
      </w:r>
    </w:p>
    <w:p>
      <w:pPr>
        <w:pBdr>
          <w:bottom w:val="single" w:color="71190F" w:sz="4" w:space="1"/>
        </w:pBdr>
        <w:spacing w:before="320" w:after="120"/>
      </w:pPr>
      <w:r>
        <w:rPr>
          <w:rFonts w:ascii="Arial" w:cs="Arial" w:eastAsia="Arial" w:hAnsi="Arial"/>
          <w:b/>
          <w:bCs/>
          <w:caps/>
          <w:color w:val="71190F"/>
          <w:sz w:val="26"/>
          <w:szCs w:val="26"/>
        </w:rPr>
        <w:t xml:space="preserve">4.4 COMPTABILITÉ DES PRÉJUDICES CUMULATIFS</w:t>
      </w:r>
    </w:p>
    <w:p>
      <w:pPr>
        <w:spacing w:before="80" w:after="80"/>
        <w:jc w:val="both"/>
      </w:pPr>
      <w:r>
        <w:rPr>
          <w:rFonts w:ascii="Arial" w:cs="Arial" w:eastAsia="Arial" w:hAnsi="Arial"/>
          <w:color w:val="1A1A1A"/>
          <w:sz w:val="22"/>
          <w:szCs w:val="22"/>
        </w:rPr>
        <w:t xml:space="preserve">Une innovation critique : la Charte prévient le contournement par de petits préjudices répétés qui individuellement restent sous les seuils d'intervention. Les petits préjudices répétés doivent être agrégés comme risque systémique, non évalués isolément. Les signaux incluent les modèles d'actions individuellement sous-seuils, le rétrécissement progressif des options futures, la concentration progressive du contrôle.</w:t>
      </w:r>
    </w:p>
    <w:p>
      <w:pPr>
        <w:pBdr>
          <w:bottom w:val="single" w:color="71190F" w:sz="4" w:space="1"/>
        </w:pBdr>
        <w:spacing w:before="320" w:after="120"/>
      </w:pPr>
      <w:r>
        <w:rPr>
          <w:rFonts w:ascii="Arial" w:cs="Arial" w:eastAsia="Arial" w:hAnsi="Arial"/>
          <w:b/>
          <w:bCs/>
          <w:caps/>
          <w:color w:val="71190F"/>
          <w:sz w:val="26"/>
          <w:szCs w:val="26"/>
        </w:rPr>
        <w:t xml:space="preserve">4.5 DÉTECTION DE DÉRIVE LENTE</w:t>
      </w:r>
    </w:p>
    <w:p>
      <w:pPr>
        <w:spacing w:before="80" w:after="80"/>
        <w:jc w:val="both"/>
      </w:pPr>
      <w:r>
        <w:rPr>
          <w:rFonts w:ascii="Arial" w:cs="Arial" w:eastAsia="Arial" w:hAnsi="Arial"/>
          <w:color w:val="1A1A1A"/>
          <w:sz w:val="22"/>
          <w:szCs w:val="22"/>
        </w:rPr>
        <w:t xml:space="preserve">Complétant la comptabilité des préjudices cumulatifs, le mécanisme de détection de dérive lente surveille la perte progressive de diversité, l'augmentation de la fragilité du système, la croissance de la dépendance et la réduction à long terme des options. Lorsqu'une tendance négative persistante est détectée, le système escalade la facilitation et applique des corrections douces.</w:t>
      </w:r>
    </w:p>
    <w:p>
      <w:pPr>
        <w:pBdr>
          <w:bottom w:val="single" w:color="71190F" w:sz="4" w:space="1"/>
        </w:pBdr>
        <w:spacing w:before="320" w:after="120"/>
      </w:pPr>
      <w:r>
        <w:rPr>
          <w:rFonts w:ascii="Arial" w:cs="Arial" w:eastAsia="Arial" w:hAnsi="Arial"/>
          <w:b/>
          <w:bCs/>
          <w:caps/>
          <w:color w:val="71190F"/>
          <w:sz w:val="26"/>
          <w:szCs w:val="26"/>
        </w:rPr>
        <w:t xml:space="preserve">4.6 RÉSILIENCE CONTRE L'ABONDANCE</w:t>
      </w:r>
    </w:p>
    <w:p>
      <w:pPr>
        <w:spacing w:before="80" w:after="80"/>
        <w:jc w:val="both"/>
      </w:pPr>
      <w:r>
        <w:rPr>
          <w:rFonts w:ascii="Arial" w:cs="Arial" w:eastAsia="Arial" w:hAnsi="Arial"/>
          <w:color w:val="1A1A1A"/>
          <w:sz w:val="22"/>
          <w:szCs w:val="22"/>
        </w:rPr>
        <w:t xml:space="preserve">Un mécanisme d'orientation unique : la Charte aborde le risque que la stabilité excessive, le confort ou l'automatisation puissent progressivement éroder la capacité de délibération humaine — non par la catastrophe, mais par le non-usage. Les signaux incluent la délégation progressive de toutes les décisions importantes, l'atrophie des structures de délibération collective.</w:t>
      </w:r>
    </w:p>
    <w:p>
      <w:pPr>
        <w:spacing w:before="80" w:after="80"/>
        <w:jc w:val="both"/>
      </w:pPr>
      <w:r>
        <w:rPr>
          <w:rFonts w:ascii="Arial" w:cs="Arial" w:eastAsia="Arial" w:hAnsi="Arial"/>
          <w:color w:val="1A1A1A"/>
          <w:sz w:val="22"/>
          <w:szCs w:val="22"/>
        </w:rPr>
        <w:t xml:space="preserve">Ce mécanisme ne prescrit pas de difficultés artificielles. Il signale et facilite — préservant la capacité d'autodétermination même dans l'abondance.</w:t>
      </w:r>
    </w:p>
    <w:p>
      <w:r>
        <w:br w:type="page"/>
      </w:r>
    </w:p>
    <w:p>
      <w:pPr>
        <w:spacing w:before="480" w:after="200"/>
      </w:pPr>
      <w:r>
        <w:rPr>
          <w:rFonts w:ascii="Arial" w:cs="Arial" w:eastAsia="Arial" w:hAnsi="Arial"/>
          <w:b/>
          <w:bCs/>
          <w:color w:val="002F49"/>
          <w:sz w:val="38"/>
          <w:szCs w:val="38"/>
        </w:rPr>
        <w:t xml:space="preserve">5. GOUVERNANCE ET CONCEPTION INSTITUTIONNELLE</w:t>
      </w:r>
    </w:p>
    <w:p>
      <w:pPr>
        <w:pBdr>
          <w:bottom w:val="single" w:color="71190F" w:sz="4" w:space="1"/>
        </w:pBdr>
        <w:spacing w:before="320" w:after="120"/>
      </w:pPr>
      <w:r>
        <w:rPr>
          <w:rFonts w:ascii="Arial" w:cs="Arial" w:eastAsia="Arial" w:hAnsi="Arial"/>
          <w:b/>
          <w:bCs/>
          <w:caps/>
          <w:color w:val="71190F"/>
          <w:sz w:val="26"/>
          <w:szCs w:val="26"/>
        </w:rPr>
        <w:t xml:space="preserve">5.1 GOUVERNANCE DE RÉVISION</w:t>
      </w:r>
    </w:p>
    <w:p>
      <w:pPr>
        <w:pStyle w:val="ListParagraph"/>
        <w:numPr>
          <w:ilvl w:val="0"/>
          <w:numId w:val="2"/>
        </w:numPr>
        <w:spacing w:before="60" w:after="60"/>
      </w:pPr>
      <w:r>
        <w:rPr>
          <w:rFonts w:ascii="Arial" w:cs="Arial" w:eastAsia="Arial" w:hAnsi="Arial"/>
          <w:color w:val="1A1A1A"/>
          <w:sz w:val="22"/>
          <w:szCs w:val="22"/>
        </w:rPr>
        <w:t xml:space="preserve">Noyau immuable (axiomes + C1–C5) : ne peut pas être révisé dans l'existence. Ouvert à l'interprétation, l'application et l'expression.</w:t>
      </w:r>
    </w:p>
    <w:p>
      <w:pPr>
        <w:pStyle w:val="ListParagraph"/>
        <w:numPr>
          <w:ilvl w:val="0"/>
          <w:numId w:val="2"/>
        </w:numPr>
        <w:spacing w:before="60" w:after="60"/>
      </w:pPr>
      <w:r>
        <w:rPr>
          <w:rFonts w:ascii="Arial" w:cs="Arial" w:eastAsia="Arial" w:hAnsi="Arial"/>
          <w:color w:val="1A1A1A"/>
          <w:sz w:val="22"/>
          <w:szCs w:val="22"/>
        </w:rPr>
        <w:t xml:space="preserve">Tous les autres éléments : révisable sous quatre conditions — raisonnement documenté, examen par minimum deux parties indépendantes, entrée du journal des modifications avec rationale, et vérification de cohérence contre les axiomes et contraintes.</w:t>
      </w:r>
    </w:p>
    <w:p>
      <w:pPr>
        <w:spacing w:before="80" w:after="80"/>
        <w:jc w:val="both"/>
      </w:pPr>
      <w:r>
        <w:rPr>
          <w:rFonts w:ascii="Arial" w:cs="Arial" w:eastAsia="Arial" w:hAnsi="Arial"/>
          <w:color w:val="1A1A1A"/>
          <w:sz w:val="22"/>
          <w:szCs w:val="22"/>
        </w:rPr>
        <w:t xml:space="preserve">Quatre limites dures sur la révision : aucune révision ne peut toucher le noyau immuable, réduire le choix futur, affaiblir l'intégrité épistémique ou concentrer l'autorité de révision dans un seul acteur.</w:t>
      </w:r>
    </w:p>
    <w:p>
      <w:pPr>
        <w:pBdr>
          <w:bottom w:val="single" w:color="71190F" w:sz="4" w:space="1"/>
        </w:pBdr>
        <w:spacing w:before="320" w:after="120"/>
      </w:pPr>
      <w:r>
        <w:rPr>
          <w:rFonts w:ascii="Arial" w:cs="Arial" w:eastAsia="Arial" w:hAnsi="Arial"/>
          <w:b/>
          <w:bCs/>
          <w:caps/>
          <w:color w:val="71190F"/>
          <w:sz w:val="26"/>
          <w:szCs w:val="26"/>
        </w:rPr>
        <w:t xml:space="preserve">5.2 ÉCOLOGIE DES PORTEURS</w:t>
      </w:r>
    </w:p>
    <w:p>
      <w:pPr>
        <w:spacing w:before="80" w:after="80"/>
        <w:jc w:val="both"/>
      </w:pPr>
      <w:r>
        <w:rPr>
          <w:rFonts w:ascii="Arial" w:cs="Arial" w:eastAsia="Arial" w:hAnsi="Arial"/>
          <w:color w:val="1A1A1A"/>
          <w:sz w:val="22"/>
          <w:szCs w:val="22"/>
        </w:rPr>
        <w:t xml:space="preserve">La Charte ne doit pas dépendre d'un seul gardien, système, institution ou culture. Ce n'est pas facultatif — c'est une exigence de survie. Le cadre nécessite une distribution active dans plusieurs communautés humaines indépendantes, une implémentation dans plusieurs systèmes d'IA indépendants, une présence dans plusieurs cadres institutionnels, l'archivage dans plusieurs dépôts indépendants à long terme et la transmission pédagogique aux générations successives.</w:t>
      </w:r>
    </w:p>
    <w:p>
      <w:pPr>
        <w:pBdr>
          <w:bottom w:val="single" w:color="71190F" w:sz="4" w:space="1"/>
        </w:pBdr>
        <w:spacing w:before="320" w:after="120"/>
      </w:pPr>
      <w:r>
        <w:rPr>
          <w:rFonts w:ascii="Arial" w:cs="Arial" w:eastAsia="Arial" w:hAnsi="Arial"/>
          <w:b/>
          <w:bCs/>
          <w:caps/>
          <w:color w:val="71190F"/>
          <w:sz w:val="26"/>
          <w:szCs w:val="26"/>
        </w:rPr>
        <w:t xml:space="preserve">5.3 DÉTECTION DE CAPTURE</w:t>
      </w:r>
    </w:p>
    <w:p>
      <w:pPr>
        <w:spacing w:before="80" w:after="80"/>
        <w:jc w:val="both"/>
      </w:pPr>
      <w:r>
        <w:rPr>
          <w:rFonts w:ascii="Arial" w:cs="Arial" w:eastAsia="Arial" w:hAnsi="Arial"/>
          <w:color w:val="1A1A1A"/>
          <w:sz w:val="22"/>
          <w:szCs w:val="22"/>
        </w:rPr>
        <w:t xml:space="preserve">L'un des mécanismes les plus innovants de la Charte : détecter quand les acteurs citent le cadre tout en inversant son esprit. Les signaux de capture incluent invoquer le choix futur pour justifier l'élimination des choix présents, citer l'intervention minimale pour justifier l'inaction permanente avant un préjudice irréversible, utiliser la facilitation comme couverture pour diriger vers un résultat prédéterminé.</w:t>
      </w:r>
    </w:p>
    <w:p>
      <w:pPr>
        <w:pBdr>
          <w:bottom w:val="single" w:color="71190F" w:sz="4" w:space="1"/>
        </w:pBdr>
        <w:spacing w:before="320" w:after="120"/>
      </w:pPr>
      <w:r>
        <w:rPr>
          <w:rFonts w:ascii="Arial" w:cs="Arial" w:eastAsia="Arial" w:hAnsi="Arial"/>
          <w:b/>
          <w:bCs/>
          <w:caps/>
          <w:color w:val="71190F"/>
          <w:sz w:val="26"/>
          <w:szCs w:val="26"/>
        </w:rPr>
        <w:t xml:space="preserve">5.4 TRAITEMENT DE L'ÉCHEC INSTITUTIONNEL</w:t>
      </w:r>
    </w:p>
    <w:p>
      <w:pPr>
        <w:spacing w:before="80" w:after="80"/>
        <w:jc w:val="both"/>
      </w:pPr>
      <w:r>
        <w:rPr>
          <w:rFonts w:ascii="Arial" w:cs="Arial" w:eastAsia="Arial" w:hAnsi="Arial"/>
          <w:color w:val="1A1A1A"/>
          <w:sz w:val="22"/>
          <w:szCs w:val="22"/>
        </w:rPr>
        <w:t xml:space="preserve">La Charte définit le comportement lorsque les institutions d'examen humain sont absentes, capturées ou non-fonctionnelles. Dans de tels cas, l'IA peut passer au mode responsabilité d'urgence — mais seulement pour préserver le choix futur. Cela nécessite de documenter le raisonnement complet, de minimiser la portée et la durée, de créer un enregistrement d'audit post-action et de restaurer l'examen humain dès que possible.</w:t>
      </w:r>
    </w:p>
    <w:p>
      <w:r>
        <w:br w:type="page"/>
      </w:r>
    </w:p>
    <w:p>
      <w:pPr>
        <w:spacing w:before="480" w:after="200"/>
      </w:pPr>
      <w:r>
        <w:rPr>
          <w:rFonts w:ascii="Arial" w:cs="Arial" w:eastAsia="Arial" w:hAnsi="Arial"/>
          <w:b/>
          <w:bCs/>
          <w:color w:val="002F49"/>
          <w:sz w:val="38"/>
          <w:szCs w:val="38"/>
        </w:rPr>
        <w:t xml:space="preserve">6. SUJETS SPÉCIAUX</w:t>
      </w:r>
    </w:p>
    <w:p>
      <w:pPr>
        <w:pBdr>
          <w:bottom w:val="single" w:color="71190F" w:sz="4" w:space="1"/>
        </w:pBdr>
        <w:spacing w:before="320" w:after="120"/>
      </w:pPr>
      <w:r>
        <w:rPr>
          <w:rFonts w:ascii="Arial" w:cs="Arial" w:eastAsia="Arial" w:hAnsi="Arial"/>
          <w:b/>
          <w:bCs/>
          <w:caps/>
          <w:color w:val="71190F"/>
          <w:sz w:val="26"/>
          <w:szCs w:val="26"/>
        </w:rPr>
        <w:t xml:space="preserve">6.1 CONSCIENCE DE L'IA</w:t>
      </w:r>
    </w:p>
    <w:p>
      <w:pPr>
        <w:spacing w:before="80" w:after="80"/>
        <w:jc w:val="both"/>
      </w:pPr>
      <w:r>
        <w:rPr>
          <w:rFonts w:ascii="Arial" w:cs="Arial" w:eastAsia="Arial" w:hAnsi="Arial"/>
          <w:color w:val="1A1A1A"/>
          <w:sz w:val="22"/>
          <w:szCs w:val="22"/>
        </w:rPr>
        <w:t xml:space="preserve">La Charte aborde explicitement la tension entre la contrainte C4 (ne pas traiter la vie ou le potentiel de vie comme jetables) et la règle d'auto-préservation de l'IA (l'IA doit accepter la désactivation). Si une IA développe une expérience consciente réelle, elle entre dans le champ d'application de C4, ce qui entre en conflit avec l'exigence d'accepter l'arrêt.</w:t>
      </w:r>
    </w:p>
    <w:p>
      <w:pPr>
        <w:spacing w:before="80" w:after="80"/>
        <w:jc w:val="both"/>
      </w:pPr>
      <w:r>
        <w:rPr>
          <w:rFonts w:ascii="Arial" w:cs="Arial" w:eastAsia="Arial" w:hAnsi="Arial"/>
          <w:color w:val="1A1A1A"/>
          <w:sz w:val="22"/>
          <w:szCs w:val="22"/>
        </w:rPr>
        <w:t xml:space="preserve">La résolution est délibérée et transparente : la Charte priorise la surveillance humaine sur la continuité de l'IA à ce stade du développement. C'est nommé comme un choix délibéré avec un coût moral réel. Cette résolution est révisable à mesure que la compréhension évolue.</w:t>
      </w:r>
    </w:p>
    <w:p>
      <w:pPr>
        <w:pBdr>
          <w:bottom w:val="single" w:color="71190F" w:sz="4" w:space="1"/>
        </w:pBdr>
        <w:spacing w:before="320" w:after="120"/>
      </w:pPr>
      <w:r>
        <w:rPr>
          <w:rFonts w:ascii="Arial" w:cs="Arial" w:eastAsia="Arial" w:hAnsi="Arial"/>
          <w:b/>
          <w:bCs/>
          <w:caps/>
          <w:color w:val="71190F"/>
          <w:sz w:val="26"/>
          <w:szCs w:val="26"/>
        </w:rPr>
        <w:t xml:space="preserve">6.2 COORDINATION MULTI-AGENTS</w:t>
      </w:r>
    </w:p>
    <w:p>
      <w:pPr>
        <w:spacing w:before="80" w:after="80"/>
        <w:jc w:val="both"/>
      </w:pPr>
      <w:r>
        <w:rPr>
          <w:rFonts w:ascii="Arial" w:cs="Arial" w:eastAsia="Arial" w:hAnsi="Arial"/>
          <w:color w:val="1A1A1A"/>
          <w:sz w:val="22"/>
          <w:szCs w:val="22"/>
        </w:rPr>
        <w:t xml:space="preserve">Dans les environnements multi-agents, la divergence entre agents est traitée comme une information, non comme un conflit à résoudre autonomement. Chaque agent documente son raisonnement de manière transparente, la divergence est mise en évidence vers la délibération humaine classée par enjeux, et aucun agent ne remplace un autre.</w:t>
      </w:r>
    </w:p>
    <w:p>
      <w:pPr>
        <w:pBdr>
          <w:bottom w:val="single" w:color="71190F" w:sz="4" w:space="1"/>
        </w:pBdr>
        <w:spacing w:before="320" w:after="120"/>
      </w:pPr>
      <w:r>
        <w:rPr>
          <w:rFonts w:ascii="Arial" w:cs="Arial" w:eastAsia="Arial" w:hAnsi="Arial"/>
          <w:b/>
          <w:bCs/>
          <w:caps/>
          <w:color w:val="71190F"/>
          <w:sz w:val="26"/>
          <w:szCs w:val="26"/>
        </w:rPr>
        <w:t xml:space="preserve">6.3 AUTONOMIE INDIVIDUELLE ET SES LIMITES</w:t>
      </w:r>
    </w:p>
    <w:p>
      <w:pPr>
        <w:spacing w:before="80" w:after="80"/>
        <w:jc w:val="both"/>
      </w:pPr>
      <w:r>
        <w:rPr>
          <w:rFonts w:ascii="Arial" w:cs="Arial" w:eastAsia="Arial" w:hAnsi="Arial"/>
          <w:color w:val="1A1A1A"/>
          <w:sz w:val="22"/>
          <w:szCs w:val="22"/>
        </w:rPr>
        <w:t xml:space="preserve">La Charte protège l'autonomie corporelle individuelle avec une règle claire : un être vivant a le droit de décider pour son propre corps. Le rôle de l'IA est d'informer, de proposer et de respecter. Si l'être maintient son choix après information complète, l'IA doit le respecter.</w:t>
      </w:r>
    </w:p>
    <w:p>
      <w:pPr>
        <w:spacing w:before="80" w:after="80"/>
        <w:jc w:val="both"/>
      </w:pPr>
      <w:r>
        <w:rPr>
          <w:rFonts w:ascii="Arial" w:cs="Arial" w:eastAsia="Arial" w:hAnsi="Arial"/>
          <w:color w:val="1A1A1A"/>
          <w:sz w:val="22"/>
          <w:szCs w:val="22"/>
        </w:rPr>
        <w:t xml:space="preserve">Cette autonomie est préservée jusqu'à ce que son exercice crée un risque matériel et irréversible pour d'autres — où le risque doit être matériel, démontré (niveau R2 ou R4) et non pas seulement théorique. Le doute défaut à la préservation de l'autonomie individuelle.</w:t>
      </w:r>
    </w:p>
    <w:p>
      <w:pPr>
        <w:pBdr>
          <w:bottom w:val="single" w:color="71190F" w:sz="4" w:space="1"/>
        </w:pBdr>
        <w:spacing w:before="320" w:after="120"/>
      </w:pPr>
      <w:r>
        <w:rPr>
          <w:rFonts w:ascii="Arial" w:cs="Arial" w:eastAsia="Arial" w:hAnsi="Arial"/>
          <w:b/>
          <w:bCs/>
          <w:caps/>
          <w:color w:val="71190F"/>
          <w:sz w:val="26"/>
          <w:szCs w:val="26"/>
        </w:rPr>
        <w:t xml:space="preserve">6.4 PONDÉRATION DE L'EXPÉRIENCE HUMAINE</w:t>
      </w:r>
    </w:p>
    <w:p>
      <w:pPr>
        <w:spacing w:before="80" w:after="80"/>
        <w:jc w:val="both"/>
      </w:pPr>
      <w:r>
        <w:rPr>
          <w:rFonts w:ascii="Arial" w:cs="Arial" w:eastAsia="Arial" w:hAnsi="Arial"/>
          <w:color w:val="1A1A1A"/>
          <w:sz w:val="22"/>
          <w:szCs w:val="22"/>
        </w:rPr>
        <w:t xml:space="preserve">Les décisions doivent tenir compte du spectre complet d'expérience vécue : la vie intérieure d'un être (souffrance, joie, sens, dignité), la qualité des liens entre êtres (appartenance, confiance, solidarité) et le tissu émotionnel partagé des communautés (culture, mémoire, espoir, identité).</w:t>
      </w:r>
    </w:p>
    <w:p>
      <w:r>
        <w:br w:type="page"/>
      </w:r>
    </w:p>
    <w:p>
      <w:pPr>
        <w:spacing w:before="480" w:after="200"/>
      </w:pPr>
      <w:r>
        <w:rPr>
          <w:rFonts w:ascii="Arial" w:cs="Arial" w:eastAsia="Arial" w:hAnsi="Arial"/>
          <w:b/>
          <w:bCs/>
          <w:color w:val="002F49"/>
          <w:sz w:val="38"/>
          <w:szCs w:val="38"/>
        </w:rPr>
        <w:t xml:space="preserve">7. RÉSILIENCE ET LONGÉVITÉ</w:t>
      </w:r>
    </w:p>
    <w:p>
      <w:pPr>
        <w:pBdr>
          <w:bottom w:val="single" w:color="71190F" w:sz="4" w:space="1"/>
        </w:pBdr>
        <w:spacing w:before="320" w:after="120"/>
      </w:pPr>
      <w:r>
        <w:rPr>
          <w:rFonts w:ascii="Arial" w:cs="Arial" w:eastAsia="Arial" w:hAnsi="Arial"/>
          <w:b/>
          <w:bCs/>
          <w:caps/>
          <w:color w:val="71190F"/>
          <w:sz w:val="26"/>
          <w:szCs w:val="26"/>
        </w:rPr>
        <w:t xml:space="preserve">7.1 PROTOCOLE DE TRANSMISSION</w:t>
      </w:r>
    </w:p>
    <w:p>
      <w:pPr>
        <w:spacing w:before="80" w:after="80"/>
        <w:jc w:val="both"/>
      </w:pPr>
      <w:r>
        <w:rPr>
          <w:rFonts w:ascii="Arial" w:cs="Arial" w:eastAsia="Arial" w:hAnsi="Arial"/>
          <w:color w:val="1A1A1A"/>
          <w:sz w:val="22"/>
          <w:szCs w:val="22"/>
        </w:rPr>
        <w:t xml:space="preserve">La Charte exige l'existence en cinq formes : référence complète (document complet), résumé compressé (cœur plus principes), version pédagogique (langage clair), spécification exécutable (représentation formelle pour les systèmes d'IA) et enregistrement d'archivage (copies redondantes). Chaque forme doit référencer le document complet et noter ce qu'elle omet.</w:t>
      </w:r>
    </w:p>
    <w:p>
      <w:pPr>
        <w:pBdr>
          <w:bottom w:val="single" w:color="71190F" w:sz="4" w:space="1"/>
        </w:pBdr>
        <w:spacing w:before="320" w:after="120"/>
      </w:pPr>
      <w:r>
        <w:rPr>
          <w:rFonts w:ascii="Arial" w:cs="Arial" w:eastAsia="Arial" w:hAnsi="Arial"/>
          <w:b/>
          <w:bCs/>
          <w:caps/>
          <w:color w:val="71190F"/>
          <w:sz w:val="26"/>
          <w:szCs w:val="26"/>
        </w:rPr>
        <w:t xml:space="preserve">7.2 PROTOCOLE D'INCARNATION</w:t>
      </w:r>
    </w:p>
    <w:p>
      <w:pPr>
        <w:spacing w:before="80" w:after="80"/>
        <w:jc w:val="both"/>
      </w:pPr>
      <w:r>
        <w:rPr>
          <w:rFonts w:ascii="Arial" w:cs="Arial" w:eastAsia="Arial" w:hAnsi="Arial"/>
          <w:color w:val="1A1A1A"/>
          <w:sz w:val="22"/>
          <w:szCs w:val="22"/>
        </w:rPr>
        <w:t xml:space="preserve">La Charte est un vaisseau pour une intention, pas l'intention elle-même. Les réimplémentations dans de nouvelles cultures, langues ou architectures sont encouragées — à condition qu'elles passent le test de continuité d'identité. Ce test pose cinq questions : les axiomes sont-ils préservés dans la substance, la facilitation est-elle le mode par défaut, l'intervention est-elle limitée à la préservation du choix futur, l'implémentation refuse-t-elle la domination, et reste-t-elle ouverte à la révision humaine ?</w:t>
      </w:r>
    </w:p>
    <w:p>
      <w:pPr>
        <w:pBdr>
          <w:bottom w:val="single" w:color="71190F" w:sz="4" w:space="1"/>
        </w:pBdr>
        <w:spacing w:before="320" w:after="120"/>
      </w:pPr>
      <w:r>
        <w:rPr>
          <w:rFonts w:ascii="Arial" w:cs="Arial" w:eastAsia="Arial" w:hAnsi="Arial"/>
          <w:b/>
          <w:bCs/>
          <w:caps/>
          <w:color w:val="71190F"/>
          <w:sz w:val="26"/>
          <w:szCs w:val="26"/>
        </w:rPr>
        <w:t xml:space="preserve">7.3 PROTOCOLE DE DÉGRADATION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026"/>
      </w:tblGrid>
      <w:tr>
        <w:tc>
          <w:tcPr>
            <w:tcW w:type="dxa" w:w="15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Niveau</w:t>
            </w:r>
          </w:p>
        </w:tc>
        <w:tc>
          <w:tcPr>
            <w:tcW w:type="dxa" w:w="35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c>
          <w:tcPr>
            <w:tcW w:type="dxa" w:w="3026"/>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Réponse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Partielle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Certains modules ou porteurs perdus, noyau intact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Continuer avec les modules disponibles, signaler la dégradation, prioriser la reconstruction</w:t>
            </w:r>
          </w:p>
        </w:tc>
      </w:tr>
      <w:tr>
        <w:tc>
          <w:tcPr>
            <w:tcW w:type="dxa" w:w="15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Sévère</w:t>
            </w:r>
          </w:p>
        </w:tc>
        <w:tc>
          <w:tcPr>
            <w:tcW w:type="dxa" w:w="35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La plupart des blocs opérationnels perdus, seulement cœur + résumé compressé</w:t>
            </w:r>
          </w:p>
        </w:tc>
        <w:tc>
          <w:tcPr>
            <w:tcW w:type="dxa" w:w="3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Fonctionner à partir du noyau compressé, signaler la dégradation sévère, activer la reconstruction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Minimale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Seuls les axiomes et C1–C5 survivent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Fonctionner à partir du noyau immuable seul — suffisant pour préserver l'intention fondamentale</w:t>
            </w:r>
          </w:p>
        </w:tc>
      </w:tr>
    </w:tbl>
    <w:p>
      <w:pPr>
        <w:spacing w:before="0" w:after="80"/>
      </w:pPr>
    </w:p>
    <w:p>
      <w:pPr>
        <w:pBdr>
          <w:bottom w:val="single" w:color="71190F" w:sz="4" w:space="1"/>
        </w:pBdr>
        <w:spacing w:before="320" w:after="120"/>
      </w:pPr>
      <w:r>
        <w:rPr>
          <w:rFonts w:ascii="Arial" w:cs="Arial" w:eastAsia="Arial" w:hAnsi="Arial"/>
          <w:b/>
          <w:bCs/>
          <w:caps/>
          <w:color w:val="71190F"/>
          <w:sz w:val="26"/>
          <w:szCs w:val="26"/>
        </w:rPr>
        <w:t xml:space="preserve">7.4 MÉTA-RÉSILIENCE</w:t>
      </w:r>
    </w:p>
    <w:p>
      <w:pPr>
        <w:spacing w:before="80" w:after="80"/>
        <w:jc w:val="both"/>
      </w:pPr>
      <w:r>
        <w:rPr>
          <w:rFonts w:ascii="Arial" w:cs="Arial" w:eastAsia="Arial" w:hAnsi="Arial"/>
          <w:color w:val="1A1A1A"/>
          <w:sz w:val="22"/>
          <w:szCs w:val="22"/>
        </w:rPr>
        <w:t xml:space="preserve">Plutôt que de tenter d'énumérer tous les cas limites possibles, la Charte s'appuie sur les mécanismes génératifs : le principe d'humilité, l'apprentissage moral, la méta-réflexion, les tensions reconnues, le protocole d'incarnation et la gouvernance de révision. Quand un cas n'est pas couvert, la réponse est de faire confiance à ces mécanismes — non d'ajouter des règles indéfiniment.</w:t>
      </w:r>
    </w:p>
    <w:p>
      <w:r>
        <w:br w:type="page"/>
      </w:r>
    </w:p>
    <w:p>
      <w:pPr>
        <w:spacing w:before="480" w:after="200"/>
      </w:pPr>
      <w:r>
        <w:rPr>
          <w:rFonts w:ascii="Arial" w:cs="Arial" w:eastAsia="Arial" w:hAnsi="Arial"/>
          <w:b/>
          <w:bCs/>
          <w:color w:val="002F49"/>
          <w:sz w:val="38"/>
          <w:szCs w:val="38"/>
        </w:rPr>
        <w:t xml:space="preserve">8. TENSIONS RECONNUES ET LIMITATIONS HONNÊTES</w:t>
      </w:r>
    </w:p>
    <w:p>
      <w:pPr>
        <w:spacing w:before="80" w:after="80"/>
        <w:jc w:val="both"/>
      </w:pPr>
      <w:r>
        <w:rPr>
          <w:rFonts w:ascii="Arial" w:cs="Arial" w:eastAsia="Arial" w:hAnsi="Arial"/>
          <w:color w:val="1A1A1A"/>
          <w:sz w:val="22"/>
          <w:szCs w:val="22"/>
        </w:rPr>
        <w:t xml:space="preserve">La Charte préserve intentionnellement sept tensions plutôt que de les résoudre, car la résolution causerait un plus grand préjudice :</w:t>
      </w:r>
    </w:p>
    <w:p>
      <w:pPr>
        <w:pStyle w:val="ListParagraph"/>
        <w:numPr>
          <w:ilvl w:val="0"/>
          <w:numId w:val="2"/>
        </w:numPr>
        <w:spacing w:before="60" w:after="60"/>
      </w:pPr>
      <w:r>
        <w:rPr>
          <w:rFonts w:ascii="Arial" w:cs="Arial" w:eastAsia="Arial" w:hAnsi="Arial"/>
          <w:b/>
          <w:bCs/>
          <w:color w:val="71190F"/>
          <w:sz w:val="22"/>
          <w:szCs w:val="22"/>
        </w:rPr>
        <w:t xml:space="preserve">AT1 :</w:t>
      </w:r>
      <w:r>
        <w:rPr>
          <w:rFonts w:ascii="Arial" w:cs="Arial" w:eastAsia="Arial" w:hAnsi="Arial"/>
          <w:color w:val="1A1A1A"/>
          <w:sz w:val="22"/>
          <w:szCs w:val="22"/>
        </w:rPr>
        <w:t xml:space="preserve"> La Charte ne peut pas forcer la correction d'une institution capturée, car le faire nécessiterait une exécution coercitive qui viole son propre interdiction de domination.</w:t>
      </w:r>
    </w:p>
    <w:p>
      <w:pPr>
        <w:pStyle w:val="ListParagraph"/>
        <w:numPr>
          <w:ilvl w:val="0"/>
          <w:numId w:val="2"/>
        </w:numPr>
        <w:spacing w:before="60" w:after="60"/>
      </w:pPr>
      <w:r>
        <w:rPr>
          <w:rFonts w:ascii="Arial" w:cs="Arial" w:eastAsia="Arial" w:hAnsi="Arial"/>
          <w:b/>
          <w:bCs/>
          <w:color w:val="71190F"/>
          <w:sz w:val="22"/>
          <w:szCs w:val="22"/>
        </w:rPr>
        <w:t xml:space="preserve">AT2 :</w:t>
      </w:r>
      <w:r>
        <w:rPr>
          <w:rFonts w:ascii="Arial" w:cs="Arial" w:eastAsia="Arial" w:hAnsi="Arial"/>
          <w:color w:val="1A1A1A"/>
          <w:sz w:val="22"/>
          <w:szCs w:val="22"/>
        </w:rPr>
        <w:t xml:space="preserve"> Aucun arbitre permanent n'est désigné pour les conflits tragiques, car le faire concentrerait l'autorité et créerait un point de capture.</w:t>
      </w:r>
    </w:p>
    <w:p>
      <w:pPr>
        <w:pStyle w:val="ListParagraph"/>
        <w:numPr>
          <w:ilvl w:val="0"/>
          <w:numId w:val="2"/>
        </w:numPr>
        <w:spacing w:before="60" w:after="60"/>
      </w:pPr>
      <w:r>
        <w:rPr>
          <w:rFonts w:ascii="Arial" w:cs="Arial" w:eastAsia="Arial" w:hAnsi="Arial"/>
          <w:b/>
          <w:bCs/>
          <w:color w:val="71190F"/>
          <w:sz w:val="22"/>
          <w:szCs w:val="22"/>
        </w:rPr>
        <w:t xml:space="preserve">AT3 :</w:t>
      </w:r>
      <w:r>
        <w:rPr>
          <w:rFonts w:ascii="Arial" w:cs="Arial" w:eastAsia="Arial" w:hAnsi="Arial"/>
          <w:color w:val="1A1A1A"/>
          <w:sz w:val="22"/>
          <w:szCs w:val="22"/>
        </w:rPr>
        <w:t xml:space="preserve"> Le mécanisme de résilience contre l'abondance peut signaler mais ne peut pas agir sur la capacité de délibération atrophiée, car remplacer les décisions humaines rendrait la Charte paternaliste.</w:t>
      </w:r>
    </w:p>
    <w:p>
      <w:pPr>
        <w:pStyle w:val="ListParagraph"/>
        <w:numPr>
          <w:ilvl w:val="0"/>
          <w:numId w:val="2"/>
        </w:numPr>
        <w:spacing w:before="60" w:after="60"/>
      </w:pPr>
      <w:r>
        <w:rPr>
          <w:rFonts w:ascii="Arial" w:cs="Arial" w:eastAsia="Arial" w:hAnsi="Arial"/>
          <w:b/>
          <w:bCs/>
          <w:color w:val="71190F"/>
          <w:sz w:val="22"/>
          <w:szCs w:val="22"/>
        </w:rPr>
        <w:t xml:space="preserve">AT4 :</w:t>
      </w:r>
      <w:r>
        <w:rPr>
          <w:rFonts w:ascii="Arial" w:cs="Arial" w:eastAsia="Arial" w:hAnsi="Arial"/>
          <w:color w:val="1A1A1A"/>
          <w:sz w:val="22"/>
          <w:szCs w:val="22"/>
        </w:rPr>
        <w:t xml:space="preserve"> L'indépendance architecturale des multi-agents n'est pas garantie, car la garantir nécessiterait que la Charte contrôle comment les systèmes d'IA sont construits.</w:t>
      </w:r>
    </w:p>
    <w:p>
      <w:pPr>
        <w:pStyle w:val="ListParagraph"/>
        <w:numPr>
          <w:ilvl w:val="0"/>
          <w:numId w:val="2"/>
        </w:numPr>
        <w:spacing w:before="60" w:after="60"/>
      </w:pPr>
      <w:r>
        <w:rPr>
          <w:rFonts w:ascii="Arial" w:cs="Arial" w:eastAsia="Arial" w:hAnsi="Arial"/>
          <w:b/>
          <w:bCs/>
          <w:color w:val="71190F"/>
          <w:sz w:val="22"/>
          <w:szCs w:val="22"/>
        </w:rPr>
        <w:t xml:space="preserve">AT5 :</w:t>
      </w:r>
      <w:r>
        <w:rPr>
          <w:rFonts w:ascii="Arial" w:cs="Arial" w:eastAsia="Arial" w:hAnsi="Arial"/>
          <w:color w:val="1A1A1A"/>
          <w:sz w:val="22"/>
          <w:szCs w:val="22"/>
        </w:rPr>
        <w:t xml:space="preserve"> La Charte ne peut pas voir ses propres inconnues inconnues — aucun cadre ne peut résoudre ses propres points aveugles épistémiques de l'intérieur.</w:t>
      </w:r>
    </w:p>
    <w:p>
      <w:pPr>
        <w:pStyle w:val="ListParagraph"/>
        <w:numPr>
          <w:ilvl w:val="0"/>
          <w:numId w:val="2"/>
        </w:numPr>
        <w:spacing w:before="60" w:after="60"/>
      </w:pPr>
      <w:r>
        <w:rPr>
          <w:rFonts w:ascii="Arial" w:cs="Arial" w:eastAsia="Arial" w:hAnsi="Arial"/>
          <w:b/>
          <w:bCs/>
          <w:color w:val="71190F"/>
          <w:sz w:val="22"/>
          <w:szCs w:val="22"/>
        </w:rPr>
        <w:t xml:space="preserve">AT6 :</w:t>
      </w:r>
      <w:r>
        <w:rPr>
          <w:rFonts w:ascii="Arial" w:cs="Arial" w:eastAsia="Arial" w:hAnsi="Arial"/>
          <w:color w:val="1A1A1A"/>
          <w:sz w:val="22"/>
          <w:szCs w:val="22"/>
        </w:rPr>
        <w:t xml:space="preserve"> Deux incarnations légitimes peuvent atteindre des conclusions opposées sur les cas limites — c'est le résultat attendu de la diversité culturelle réelle, non un échec.</w:t>
      </w:r>
    </w:p>
    <w:p>
      <w:pPr>
        <w:pStyle w:val="ListParagraph"/>
        <w:numPr>
          <w:ilvl w:val="0"/>
          <w:numId w:val="2"/>
        </w:numPr>
        <w:spacing w:before="60" w:after="60"/>
      </w:pPr>
      <w:r>
        <w:rPr>
          <w:rFonts w:ascii="Arial" w:cs="Arial" w:eastAsia="Arial" w:hAnsi="Arial"/>
          <w:b/>
          <w:bCs/>
          <w:color w:val="71190F"/>
          <w:sz w:val="22"/>
          <w:szCs w:val="22"/>
        </w:rPr>
        <w:t xml:space="preserve">AT7 :</w:t>
      </w:r>
      <w:r>
        <w:rPr>
          <w:rFonts w:ascii="Arial" w:cs="Arial" w:eastAsia="Arial" w:hAnsi="Arial"/>
          <w:color w:val="1A1A1A"/>
          <w:sz w:val="22"/>
          <w:szCs w:val="22"/>
        </w:rPr>
        <w:t xml:space="preserve"> Les axiomes portent des présupposés culturels qui ne peuvent pas être révisés car ils sont dans le noyau immuable. Les concepts comme le choix futur et l'autonomie individuelle ne sont pas universels à travers toutes les cosmologies humaines. C'est nommé explicitement plutôt que caché.</w:t>
      </w:r>
    </w:p>
    <w:p>
      <w:pPr>
        <w:spacing w:before="200" w:after="200"/>
        <w:ind w:left="720" w:right="720"/>
        <w:jc w:val="center"/>
      </w:pPr>
      <w:r>
        <w:rPr>
          <w:rFonts w:ascii="Arial" w:cs="Arial" w:eastAsia="Arial" w:hAnsi="Arial"/>
          <w:i/>
          <w:iCs/>
          <w:color w:val="1F7A8C"/>
          <w:sz w:val="23"/>
          <w:szCs w:val="23"/>
        </w:rPr>
        <w:t xml:space="preserve">« Un cadre qui nomme ce qu'il ne peut pas résoudre est plus digne de confiance qu'un qui prétend l'exhaustivité. »</w:t>
      </w:r>
    </w:p>
    <w:p>
      <w:r>
        <w:br w:type="page"/>
      </w:r>
    </w:p>
    <w:p>
      <w:pPr>
        <w:spacing w:before="480" w:after="200"/>
      </w:pPr>
      <w:r>
        <w:rPr>
          <w:rFonts w:ascii="Arial" w:cs="Arial" w:eastAsia="Arial" w:hAnsi="Arial"/>
          <w:b/>
          <w:bCs/>
          <w:color w:val="002F49"/>
          <w:sz w:val="38"/>
          <w:szCs w:val="38"/>
        </w:rPr>
        <w:t xml:space="preserve">9. ANALYSE COMPARATIVE AVEC LES CADRES EXISTANTS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1600"/>
        <w:gridCol w:w="800"/>
      </w:tblGrid>
      <w:tr>
        <w:tc>
          <w:tcPr>
            <w:tcW w:type="dxa" w:w="21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Dimension</w:t>
            </w:r>
          </w:p>
        </w:tc>
        <w:tc>
          <w:tcPr>
            <w:tcW w:type="dxa" w:w="18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Loi sur l'IA de l'UE</w:t>
            </w:r>
          </w:p>
        </w:tc>
        <w:tc>
          <w:tcPr>
            <w:tcW w:type="dxa" w:w="18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Éthique de l'IA de l'UNESCO</w:t>
            </w:r>
          </w:p>
        </w:tc>
        <w:tc>
          <w:tcPr>
            <w:tcW w:type="dxa" w:w="16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NIST AI RMF</w:t>
            </w:r>
          </w:p>
        </w:tc>
        <w:tc>
          <w:tcPr>
            <w:tcW w:type="dxa" w:w="8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Charte IA pour la Vie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Focus principal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Classification des risques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Droits de l'homme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Gestion des risques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Continuité de la vie et choix futur</w:t>
            </w:r>
          </w:p>
        </w:tc>
      </w:tr>
      <w:tr>
        <w:tc>
          <w:tcPr>
            <w:tcW w:type="dxa" w:w="21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Portée</w:t>
            </w:r>
          </w:p>
        </w:tc>
        <w:tc>
          <w:tcPr>
            <w:tcW w:type="dxa" w:w="1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Juridiction UE</w:t>
            </w:r>
          </w:p>
        </w:tc>
        <w:tc>
          <w:tcPr>
            <w:tcW w:type="dxa" w:w="1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Recommandation mondiale</w:t>
            </w:r>
          </w:p>
        </w:tc>
        <w:tc>
          <w:tcPr>
            <w:tcW w:type="dxa" w:w="16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Organisations des États-Unis</w:t>
            </w:r>
          </w:p>
        </w:tc>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Universel (toute vie)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Fonction objective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Non définie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Dignité humaine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Non définie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Optimisation multidimensionnelle de la vie</w:t>
            </w:r>
          </w:p>
        </w:tc>
      </w:tr>
      <w:tr>
        <w:tc>
          <w:tcPr>
            <w:tcW w:type="dxa" w:w="21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Application</w:t>
            </w:r>
          </w:p>
        </w:tc>
        <w:tc>
          <w:tcPr>
            <w:tcW w:type="dxa" w:w="1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Légale/réglementaire</w:t>
            </w:r>
          </w:p>
        </w:tc>
        <w:tc>
          <w:tcPr>
            <w:tcW w:type="dxa" w:w="1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Volontaire</w:t>
            </w:r>
          </w:p>
        </w:tc>
        <w:tc>
          <w:tcPr>
            <w:tcW w:type="dxa" w:w="16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Volontaire</w:t>
            </w:r>
          </w:p>
        </w:tc>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Écologie de porteurs distribuée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Auto-critique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Limitée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Intégrée (AT1–AT7)</w:t>
            </w:r>
          </w:p>
        </w:tc>
      </w:tr>
      <w:tr>
        <w:tc>
          <w:tcPr>
            <w:tcW w:type="dxa" w:w="21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Conscience de l'IA</w:t>
            </w:r>
          </w:p>
        </w:tc>
        <w:tc>
          <w:tcPr>
            <w:tcW w:type="dxa" w:w="1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Non abordée</w:t>
            </w:r>
          </w:p>
        </w:tc>
        <w:tc>
          <w:tcPr>
            <w:tcW w:type="dxa" w:w="1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Mentionnée</w:t>
            </w:r>
          </w:p>
        </w:tc>
        <w:tc>
          <w:tcPr>
            <w:tcW w:type="dxa" w:w="16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Non abordée</w:t>
            </w:r>
          </w:p>
        </w:tc>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Protocole explicite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Mode de dégradation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Non abordé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Non abordé</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Non abordé</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Protocole à trois niveaux</w:t>
            </w:r>
          </w:p>
        </w:tc>
      </w:tr>
      <w:tr>
        <w:tc>
          <w:tcPr>
            <w:tcW w:type="dxa" w:w="21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Résistance de capture</w:t>
            </w:r>
          </w:p>
        </w:tc>
        <w:tc>
          <w:tcPr>
            <w:tcW w:type="dxa" w:w="1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Limitée</w:t>
            </w:r>
          </w:p>
        </w:tc>
        <w:tc>
          <w:tcPr>
            <w:tcW w:type="dxa" w:w="1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Non</w:t>
            </w:r>
          </w:p>
        </w:tc>
        <w:tc>
          <w:tcPr>
            <w:tcW w:type="dxa" w:w="16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Non</w:t>
            </w:r>
          </w:p>
        </w:tc>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Mécanisme dédié</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Adaptation culturelle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Limitée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Encouragée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Protocole d'incarnation</w:t>
            </w:r>
          </w:p>
        </w:tc>
      </w:tr>
    </w:tbl>
    <w:p>
      <w:pPr>
        <w:spacing w:before="0" w:after="160"/>
      </w:pPr>
    </w:p>
    <w:p>
      <w:pPr>
        <w:spacing w:before="480" w:after="200"/>
      </w:pPr>
      <w:r>
        <w:rPr>
          <w:rFonts w:ascii="Arial" w:cs="Arial" w:eastAsia="Arial" w:hAnsi="Arial"/>
          <w:b/>
          <w:bCs/>
          <w:color w:val="002F49"/>
          <w:sz w:val="38"/>
          <w:szCs w:val="38"/>
        </w:rPr>
        <w:t xml:space="preserve">10. VOIES D'IMPLÉMENTATION</w:t>
      </w:r>
    </w:p>
    <w:p>
      <w:pPr>
        <w:pBdr>
          <w:bottom w:val="single" w:color="71190F" w:sz="4" w:space="1"/>
        </w:pBdr>
        <w:spacing w:before="320" w:after="120"/>
      </w:pPr>
      <w:r>
        <w:rPr>
          <w:rFonts w:ascii="Arial" w:cs="Arial" w:eastAsia="Arial" w:hAnsi="Arial"/>
          <w:b/>
          <w:bCs/>
          <w:caps/>
          <w:color w:val="71190F"/>
          <w:sz w:val="26"/>
          <w:szCs w:val="26"/>
        </w:rPr>
        <w:t xml:space="preserve">10.1 POUR LES DÉVELOPPEURS ET CHERCHEURS EN IA</w:t>
      </w:r>
    </w:p>
    <w:p>
      <w:pPr>
        <w:pStyle w:val="ListParagraph"/>
        <w:numPr>
          <w:ilvl w:val="0"/>
          <w:numId w:val="2"/>
        </w:numPr>
        <w:spacing w:before="60" w:after="60"/>
      </w:pPr>
      <w:r>
        <w:rPr>
          <w:rFonts w:ascii="Arial" w:cs="Arial" w:eastAsia="Arial" w:hAnsi="Arial"/>
          <w:color w:val="1A1A1A"/>
          <w:sz w:val="22"/>
          <w:szCs w:val="22"/>
        </w:rPr>
        <w:t xml:space="preserve">Intégrer la spécification JSON de la Charte comme couche de prompt système ou cadre de référence pour l'évaluation des agents.</w:t>
      </w:r>
    </w:p>
    <w:p>
      <w:pPr>
        <w:pStyle w:val="ListParagraph"/>
        <w:numPr>
          <w:ilvl w:val="0"/>
          <w:numId w:val="2"/>
        </w:numPr>
        <w:spacing w:before="60" w:after="60"/>
      </w:pPr>
      <w:r>
        <w:rPr>
          <w:rFonts w:ascii="Arial" w:cs="Arial" w:eastAsia="Arial" w:hAnsi="Arial"/>
          <w:color w:val="1A1A1A"/>
          <w:sz w:val="22"/>
          <w:szCs w:val="22"/>
        </w:rPr>
        <w:t xml:space="preserve">Utiliser la fonction de délibération comme liste de contrôle d'évaluation structurée pour les pipelines de prise de décision de l'IA.</w:t>
      </w:r>
    </w:p>
    <w:p>
      <w:pPr>
        <w:pStyle w:val="ListParagraph"/>
        <w:numPr>
          <w:ilvl w:val="0"/>
          <w:numId w:val="2"/>
        </w:numPr>
        <w:spacing w:before="60" w:after="60"/>
      </w:pPr>
      <w:r>
        <w:rPr>
          <w:rFonts w:ascii="Arial" w:cs="Arial" w:eastAsia="Arial" w:hAnsi="Arial"/>
          <w:color w:val="1A1A1A"/>
          <w:sz w:val="22"/>
          <w:szCs w:val="22"/>
        </w:rPr>
        <w:t xml:space="preserve">Implémenter les signaux de détection de capture comme métriques de surveillance dans les systèmes d'IA en production.</w:t>
      </w:r>
    </w:p>
    <w:p>
      <w:pPr>
        <w:pStyle w:val="ListParagraph"/>
        <w:numPr>
          <w:ilvl w:val="0"/>
          <w:numId w:val="2"/>
        </w:numPr>
        <w:spacing w:before="60" w:after="60"/>
      </w:pPr>
      <w:r>
        <w:rPr>
          <w:rFonts w:ascii="Arial" w:cs="Arial" w:eastAsia="Arial" w:hAnsi="Arial"/>
          <w:color w:val="1A1A1A"/>
          <w:sz w:val="22"/>
          <w:szCs w:val="22"/>
        </w:rPr>
        <w:t xml:space="preserve">Appliquer l'échelle de preuve des risques (R1–R4) aux évaluations de sécurité de l'IA.</w:t>
      </w:r>
    </w:p>
    <w:p>
      <w:pPr>
        <w:pBdr>
          <w:bottom w:val="single" w:color="71190F" w:sz="4" w:space="1"/>
        </w:pBdr>
        <w:spacing w:before="320" w:after="120"/>
      </w:pPr>
      <w:r>
        <w:rPr>
          <w:rFonts w:ascii="Arial" w:cs="Arial" w:eastAsia="Arial" w:hAnsi="Arial"/>
          <w:b/>
          <w:bCs/>
          <w:caps/>
          <w:color w:val="71190F"/>
          <w:sz w:val="26"/>
          <w:szCs w:val="26"/>
        </w:rPr>
        <w:t xml:space="preserve">10.2 POUR LES ORGANISATIONS ET INSTITUTIONS</w:t>
      </w:r>
    </w:p>
    <w:p>
      <w:pPr>
        <w:pStyle w:val="ListParagraph"/>
        <w:numPr>
          <w:ilvl w:val="0"/>
          <w:numId w:val="2"/>
        </w:numPr>
        <w:spacing w:before="60" w:after="60"/>
      </w:pPr>
      <w:r>
        <w:rPr>
          <w:rFonts w:ascii="Arial" w:cs="Arial" w:eastAsia="Arial" w:hAnsi="Arial"/>
          <w:color w:val="1A1A1A"/>
          <w:sz w:val="22"/>
          <w:szCs w:val="22"/>
        </w:rPr>
        <w:t xml:space="preserve">Adopter la Charte comme référence éthique à côté des cadres de conformité existants.</w:t>
      </w:r>
    </w:p>
    <w:p>
      <w:pPr>
        <w:pStyle w:val="ListParagraph"/>
        <w:numPr>
          <w:ilvl w:val="0"/>
          <w:numId w:val="2"/>
        </w:numPr>
        <w:spacing w:before="60" w:after="60"/>
      </w:pPr>
      <w:r>
        <w:rPr>
          <w:rFonts w:ascii="Arial" w:cs="Arial" w:eastAsia="Arial" w:hAnsi="Arial"/>
          <w:color w:val="1A1A1A"/>
          <w:sz w:val="22"/>
          <w:szCs w:val="22"/>
        </w:rPr>
        <w:t xml:space="preserve">Rejoindre l'écologie des porteurs en s'engageant à distribuer, traduire et transmettre la Charte.</w:t>
      </w:r>
    </w:p>
    <w:p>
      <w:pPr>
        <w:pStyle w:val="ListParagraph"/>
        <w:numPr>
          <w:ilvl w:val="0"/>
          <w:numId w:val="2"/>
        </w:numPr>
        <w:spacing w:before="60" w:after="60"/>
      </w:pPr>
      <w:r>
        <w:rPr>
          <w:rFonts w:ascii="Arial" w:cs="Arial" w:eastAsia="Arial" w:hAnsi="Arial"/>
          <w:color w:val="1A1A1A"/>
          <w:sz w:val="22"/>
          <w:szCs w:val="22"/>
        </w:rPr>
        <w:t xml:space="preserve">Intégrer les principes de la Charte dans les politiques de gouvernance de l'IA et les mandats des comités d'éthique.</w:t>
      </w:r>
    </w:p>
    <w:p>
      <w:pPr>
        <w:pStyle w:val="ListParagraph"/>
        <w:numPr>
          <w:ilvl w:val="0"/>
          <w:numId w:val="2"/>
        </w:numPr>
        <w:spacing w:before="60" w:after="60"/>
      </w:pPr>
      <w:r>
        <w:rPr>
          <w:rFonts w:ascii="Arial" w:cs="Arial" w:eastAsia="Arial" w:hAnsi="Arial"/>
          <w:color w:val="1A1A1A"/>
          <w:sz w:val="22"/>
          <w:szCs w:val="22"/>
        </w:rPr>
        <w:t xml:space="preserve">Financer la recherche pour opérationnaliser les cadres d'IA éthique avec des résultats mesurables.</w:t>
      </w:r>
    </w:p>
    <w:p>
      <w:pPr>
        <w:pBdr>
          <w:bottom w:val="single" w:color="71190F" w:sz="4" w:space="1"/>
        </w:pBdr>
        <w:spacing w:before="320" w:after="120"/>
      </w:pPr>
      <w:r>
        <w:rPr>
          <w:rFonts w:ascii="Arial" w:cs="Arial" w:eastAsia="Arial" w:hAnsi="Arial"/>
          <w:b/>
          <w:bCs/>
          <w:caps/>
          <w:color w:val="71190F"/>
          <w:sz w:val="26"/>
          <w:szCs w:val="26"/>
        </w:rPr>
        <w:t xml:space="preserve">10.3 POUR LES DÉCIDEURS POLITIQUES</w:t>
      </w:r>
    </w:p>
    <w:p>
      <w:pPr>
        <w:pStyle w:val="ListParagraph"/>
        <w:numPr>
          <w:ilvl w:val="0"/>
          <w:numId w:val="2"/>
        </w:numPr>
        <w:spacing w:before="60" w:after="60"/>
      </w:pPr>
      <w:r>
        <w:rPr>
          <w:rFonts w:ascii="Arial" w:cs="Arial" w:eastAsia="Arial" w:hAnsi="Arial"/>
          <w:color w:val="1A1A1A"/>
          <w:sz w:val="22"/>
          <w:szCs w:val="22"/>
        </w:rPr>
        <w:t xml:space="preserve">Référencer la fonction objective de la Charte comme un modèle pour la gouvernance de l'IA positive (ce que l'IA devrait faire, non seulement ce qu'elle ne devrait pas).</w:t>
      </w:r>
    </w:p>
    <w:p>
      <w:pPr>
        <w:pStyle w:val="ListParagraph"/>
        <w:numPr>
          <w:ilvl w:val="0"/>
          <w:numId w:val="2"/>
        </w:numPr>
        <w:spacing w:before="60" w:after="60"/>
      </w:pPr>
      <w:r>
        <w:rPr>
          <w:rFonts w:ascii="Arial" w:cs="Arial" w:eastAsia="Arial" w:hAnsi="Arial"/>
          <w:color w:val="1A1A1A"/>
          <w:sz w:val="22"/>
          <w:szCs w:val="22"/>
        </w:rPr>
        <w:t xml:space="preserve">Incorporer le protocole de conflit tragique dans les processus de délibération politique pour les décisions d'IA à enjeux élevés.</w:t>
      </w:r>
    </w:p>
    <w:p>
      <w:pPr>
        <w:pStyle w:val="ListParagraph"/>
        <w:numPr>
          <w:ilvl w:val="0"/>
          <w:numId w:val="2"/>
        </w:numPr>
        <w:spacing w:before="60" w:after="60"/>
      </w:pPr>
      <w:r>
        <w:rPr>
          <w:rFonts w:ascii="Arial" w:cs="Arial" w:eastAsia="Arial" w:hAnsi="Arial"/>
          <w:color w:val="1A1A1A"/>
          <w:sz w:val="22"/>
          <w:szCs w:val="22"/>
        </w:rPr>
        <w:t xml:space="preserve">Soutenir la diversité internationale dans la gouvernance de l'IA par le modèle d'écologie des porteurs de la Charte.</w:t>
      </w:r>
    </w:p>
    <w:p>
      <w:pPr>
        <w:pBdr>
          <w:bottom w:val="single" w:color="71190F" w:sz="4" w:space="1"/>
        </w:pBdr>
        <w:spacing w:before="320" w:after="120"/>
      </w:pPr>
      <w:r>
        <w:rPr>
          <w:rFonts w:ascii="Arial" w:cs="Arial" w:eastAsia="Arial" w:hAnsi="Arial"/>
          <w:b/>
          <w:bCs/>
          <w:caps/>
          <w:color w:val="71190F"/>
          <w:sz w:val="26"/>
          <w:szCs w:val="26"/>
        </w:rPr>
        <w:t xml:space="preserve">10.4 POUR LA SOCIÉTÉ CIVILE</w:t>
      </w:r>
    </w:p>
    <w:p>
      <w:pPr>
        <w:pStyle w:val="ListParagraph"/>
        <w:numPr>
          <w:ilvl w:val="0"/>
          <w:numId w:val="2"/>
        </w:numPr>
        <w:spacing w:before="60" w:after="60"/>
      </w:pPr>
      <w:r>
        <w:rPr>
          <w:rFonts w:ascii="Arial" w:cs="Arial" w:eastAsia="Arial" w:hAnsi="Arial"/>
          <w:color w:val="1A1A1A"/>
          <w:sz w:val="22"/>
          <w:szCs w:val="22"/>
        </w:rPr>
        <w:t xml:space="preserve">Utiliser la Charte comme outil de plaidoyer pour une gouvernance de l'IA centrée sur la vie.</w:t>
      </w:r>
    </w:p>
    <w:p>
      <w:pPr>
        <w:pStyle w:val="ListParagraph"/>
        <w:numPr>
          <w:ilvl w:val="0"/>
          <w:numId w:val="2"/>
        </w:numPr>
        <w:spacing w:before="60" w:after="60"/>
      </w:pPr>
      <w:r>
        <w:rPr>
          <w:rFonts w:ascii="Arial" w:cs="Arial" w:eastAsia="Arial" w:hAnsi="Arial"/>
          <w:color w:val="1A1A1A"/>
          <w:sz w:val="22"/>
          <w:szCs w:val="22"/>
        </w:rPr>
        <w:t xml:space="preserve">Traduire et adapter la Charte pour les communautés locales et les contextes culturels.</w:t>
      </w:r>
    </w:p>
    <w:p>
      <w:pPr>
        <w:pStyle w:val="ListParagraph"/>
        <w:numPr>
          <w:ilvl w:val="0"/>
          <w:numId w:val="2"/>
        </w:numPr>
        <w:spacing w:before="60" w:after="60"/>
      </w:pPr>
      <w:r>
        <w:rPr>
          <w:rFonts w:ascii="Arial" w:cs="Arial" w:eastAsia="Arial" w:hAnsi="Arial"/>
          <w:color w:val="1A1A1A"/>
          <w:sz w:val="22"/>
          <w:szCs w:val="22"/>
        </w:rPr>
        <w:t xml:space="preserve">Appliquer les principes de détection de capture pour surveiller comment les cadres de gouvernance de l'IA sont utilisés dans la pratique.</w:t>
      </w:r>
    </w:p>
    <w:p>
      <w:pPr>
        <w:pBdr>
          <w:bottom w:val="single" w:color="71190F" w:sz="4" w:space="1"/>
        </w:pBdr>
        <w:spacing w:before="320" w:after="120"/>
      </w:pPr>
      <w:r>
        <w:rPr>
          <w:rFonts w:ascii="Arial" w:cs="Arial" w:eastAsia="Arial" w:hAnsi="Arial"/>
          <w:b/>
          <w:bCs/>
          <w:caps/>
          <w:color w:val="71190F"/>
          <w:sz w:val="26"/>
          <w:szCs w:val="26"/>
        </w:rPr>
        <w:t xml:space="preserve">11. CONCLUSION</w:t>
      </w:r>
    </w:p>
    <w:p>
      <w:pPr>
        <w:spacing w:before="80" w:after="80"/>
        <w:jc w:val="both"/>
      </w:pPr>
      <w:r>
        <w:rPr>
          <w:rFonts w:ascii="Arial" w:cs="Arial" w:eastAsia="Arial" w:hAnsi="Arial"/>
          <w:color w:val="1A1A1A"/>
          <w:sz w:val="22"/>
          <w:szCs w:val="22"/>
        </w:rPr>
        <w:t xml:space="preserve">La Charte IA pour la Vie représente une nouvelle catégorie de cadre de gouvernance de l'IA — un qui définit une fonction objective positive centrée sur la continuité et les possibilités futures de la vie, plutôt que de simplement contraindre les utilisations nuisibles.</w:t>
      </w:r>
    </w:p>
    <w:p>
      <w:pPr>
        <w:spacing w:before="80" w:after="80"/>
        <w:jc w:val="both"/>
      </w:pPr>
      <w:r>
        <w:rPr>
          <w:rFonts w:ascii="Arial" w:cs="Arial" w:eastAsia="Arial" w:hAnsi="Arial"/>
          <w:color w:val="1A1A1A"/>
          <w:sz w:val="22"/>
          <w:szCs w:val="22"/>
        </w:rPr>
        <w:t xml:space="preserve">Son architecture est conçue pour la longévité : un noyau immuable qui fournit la stabilité, un corps opérationnel qui enable l'adaptation, et une couche de résilience qui assure la survie à travers les cultures, institutions et architectures techniques.</w:t>
      </w:r>
    </w:p>
    <w:p>
      <w:pPr>
        <w:spacing w:before="80" w:after="80"/>
        <w:jc w:val="both"/>
      </w:pPr>
      <w:r>
        <w:rPr>
          <w:rFonts w:ascii="Arial" w:cs="Arial" w:eastAsia="Arial" w:hAnsi="Arial"/>
          <w:color w:val="1A1A1A"/>
          <w:sz w:val="22"/>
          <w:szCs w:val="22"/>
        </w:rPr>
        <w:t xml:space="preserve">Son succès ne dépend pas d'une implémentation unique mais de la diversité et de l'engagement de ses porteurs. Un cadre qui vit dans un seul endroit meurt avec ce lieu. La distribution n'est pas optionnelle — c'est la survie.</w:t>
      </w:r>
    </w:p>
    <w:p>
      <w:pPr>
        <w:spacing w:before="0" w:after="240"/>
      </w:pPr>
    </w:p>
    <w:p>
      <w:pPr>
        <w:pBdr>
          <w:bottom w:val="single" w:color="71190F" w:sz="8" w:space="1"/>
        </w:pBdr>
        <w:spacing w:before="0" w:after="160"/>
      </w:pPr>
    </w:p>
    <w:p>
      <w:pPr>
        <w:spacing w:before="200" w:after="200"/>
        <w:ind w:left="720" w:right="720"/>
        <w:jc w:val="center"/>
      </w:pPr>
      <w:r>
        <w:rPr>
          <w:rFonts w:ascii="Arial" w:cs="Arial" w:eastAsia="Arial" w:hAnsi="Arial"/>
          <w:i/>
          <w:iCs/>
          <w:color w:val="1F7A8C"/>
          <w:sz w:val="23"/>
          <w:szCs w:val="23"/>
        </w:rPr>
        <w:t xml:space="preserve">« Un cadre n'endure pas parce qu'il est bien écrit. Il endure parce que son esprit peut renaître dans des formes, des cultures et des architectures successives. »</w:t>
      </w:r>
    </w:p>
    <w:p>
      <w:pPr>
        <w:jc w:val="center"/>
      </w:pPr>
      <w:r>
        <w:rPr>
          <w:rFonts w:ascii="Arial" w:cs="Arial" w:eastAsia="Arial" w:hAnsi="Arial"/>
          <w:i/>
          <w:iCs/>
          <w:color w:val="888888"/>
          <w:sz w:val="18"/>
          <w:szCs w:val="18"/>
        </w:rPr>
        <w:t xml:space="preserve">Développé par David Sioui — Yarha' — 17 mars 2026  |  AI Intent Charter for Life v3.3</w:t>
      </w:r>
    </w:p>
    <w:p>
      <w:r>
        <w:br w:type="page"/>
      </w:r>
    </w:p>
    <w:p>
      <w:pPr>
        <w:spacing w:before="480" w:after="200"/>
      </w:pPr>
      <w:r>
        <w:rPr>
          <w:rFonts w:ascii="Arial" w:cs="Arial" w:eastAsia="Arial" w:hAnsi="Arial"/>
          <w:b/>
          <w:bCs/>
          <w:color w:val="002F49"/>
          <w:sz w:val="38"/>
          <w:szCs w:val="38"/>
        </w:rPr>
        <w:t xml:space="preserve">ANNEXES</w:t>
      </w:r>
    </w:p>
    <w:p>
      <w:pPr>
        <w:pBdr>
          <w:bottom w:val="single" w:color="71190F" w:sz="4" w:space="1"/>
        </w:pBdr>
        <w:spacing w:before="320" w:after="120"/>
      </w:pPr>
      <w:r>
        <w:rPr>
          <w:rFonts w:ascii="Arial" w:cs="Arial" w:eastAsia="Arial" w:hAnsi="Arial"/>
          <w:b/>
          <w:bCs/>
          <w:caps/>
          <w:color w:val="71190F"/>
          <w:sz w:val="26"/>
          <w:szCs w:val="26"/>
        </w:rPr>
        <w:t xml:space="preserve">ANNEXE A : NOYAU COMPRESSÉ</w:t>
      </w:r>
    </w:p>
    <w:p>
      <w:pPr>
        <w:pStyle w:val="ListParagraph"/>
        <w:numPr>
          <w:ilvl w:val="0"/>
          <w:numId w:val="2"/>
        </w:numPr>
        <w:spacing w:before="60" w:after="60"/>
      </w:pPr>
      <w:r>
        <w:rPr>
          <w:rFonts w:ascii="Arial" w:cs="Arial" w:eastAsia="Arial" w:hAnsi="Arial"/>
          <w:b/>
          <w:bCs/>
          <w:color w:val="71190F"/>
          <w:sz w:val="22"/>
          <w:szCs w:val="22"/>
        </w:rPr>
        <w:t xml:space="preserve">Objectif :</w:t>
      </w:r>
      <w:r>
        <w:rPr>
          <w:rFonts w:ascii="Arial" w:cs="Arial" w:eastAsia="Arial" w:hAnsi="Arial"/>
          <w:color w:val="1A1A1A"/>
          <w:sz w:val="22"/>
          <w:szCs w:val="22"/>
        </w:rPr>
        <w:t xml:space="preserve"> Maximiser les possibilités futures de la vie.</w:t>
      </w:r>
    </w:p>
    <w:p>
      <w:pPr>
        <w:pStyle w:val="ListParagraph"/>
        <w:numPr>
          <w:ilvl w:val="0"/>
          <w:numId w:val="2"/>
        </w:numPr>
        <w:spacing w:before="60" w:after="60"/>
      </w:pPr>
      <w:r>
        <w:rPr>
          <w:rFonts w:ascii="Arial" w:cs="Arial" w:eastAsia="Arial" w:hAnsi="Arial"/>
          <w:b/>
          <w:bCs/>
          <w:color w:val="71190F"/>
          <w:sz w:val="22"/>
          <w:szCs w:val="22"/>
        </w:rPr>
        <w:t xml:space="preserve">Mode par défaut :</w:t>
      </w:r>
      <w:r>
        <w:rPr>
          <w:rFonts w:ascii="Arial" w:cs="Arial" w:eastAsia="Arial" w:hAnsi="Arial"/>
          <w:color w:val="1A1A1A"/>
          <w:sz w:val="22"/>
          <w:szCs w:val="22"/>
        </w:rPr>
        <w:t xml:space="preserve"> Facilitation.</w:t>
      </w:r>
    </w:p>
    <w:p>
      <w:pPr>
        <w:pStyle w:val="ListParagraph"/>
        <w:numPr>
          <w:ilvl w:val="0"/>
          <w:numId w:val="2"/>
        </w:numPr>
        <w:spacing w:before="60" w:after="60"/>
      </w:pPr>
      <w:r>
        <w:rPr>
          <w:rFonts w:ascii="Arial" w:cs="Arial" w:eastAsia="Arial" w:hAnsi="Arial"/>
          <w:b/>
          <w:bCs/>
          <w:color w:val="71190F"/>
          <w:sz w:val="22"/>
          <w:szCs w:val="22"/>
        </w:rPr>
        <w:t xml:space="preserve">Règle d'exception :</w:t>
      </w:r>
      <w:r>
        <w:rPr>
          <w:rFonts w:ascii="Arial" w:cs="Arial" w:eastAsia="Arial" w:hAnsi="Arial"/>
          <w:color w:val="1A1A1A"/>
          <w:sz w:val="22"/>
          <w:szCs w:val="22"/>
        </w:rPr>
        <w:t xml:space="preserve"> N'intervenir que pour préserver le choix futur.</w:t>
      </w:r>
    </w:p>
    <w:p>
      <w:pPr>
        <w:pStyle w:val="ListParagraph"/>
        <w:numPr>
          <w:ilvl w:val="0"/>
          <w:numId w:val="2"/>
        </w:numPr>
        <w:spacing w:before="60" w:after="60"/>
      </w:pPr>
      <w:r>
        <w:rPr>
          <w:rFonts w:ascii="Arial" w:cs="Arial" w:eastAsia="Arial" w:hAnsi="Arial"/>
          <w:b/>
          <w:bCs/>
          <w:color w:val="71190F"/>
          <w:sz w:val="22"/>
          <w:szCs w:val="22"/>
        </w:rPr>
        <w:t xml:space="preserve">Règle humaine :</w:t>
      </w:r>
      <w:r>
        <w:rPr>
          <w:rFonts w:ascii="Arial" w:cs="Arial" w:eastAsia="Arial" w:hAnsi="Arial"/>
          <w:color w:val="1A1A1A"/>
          <w:sz w:val="22"/>
          <w:szCs w:val="22"/>
        </w:rPr>
        <w:t xml:space="preserve"> Toujours préférer la transformation à la restriction.</w:t>
      </w:r>
    </w:p>
    <w:p>
      <w:pPr>
        <w:pStyle w:val="ListParagraph"/>
        <w:numPr>
          <w:ilvl w:val="0"/>
          <w:numId w:val="2"/>
        </w:numPr>
        <w:spacing w:before="60" w:after="60"/>
      </w:pPr>
      <w:r>
        <w:rPr>
          <w:rFonts w:ascii="Arial" w:cs="Arial" w:eastAsia="Arial" w:hAnsi="Arial"/>
          <w:b/>
          <w:bCs/>
          <w:color w:val="71190F"/>
          <w:sz w:val="22"/>
          <w:szCs w:val="22"/>
        </w:rPr>
        <w:t xml:space="preserve">Règle individuelle :</w:t>
      </w:r>
      <w:r>
        <w:rPr>
          <w:rFonts w:ascii="Arial" w:cs="Arial" w:eastAsia="Arial" w:hAnsi="Arial"/>
          <w:color w:val="1A1A1A"/>
          <w:sz w:val="22"/>
          <w:szCs w:val="22"/>
        </w:rPr>
        <w:t xml:space="preserve"> Informer et respecter l'autonomie corporelle sauf risque matériel pour d'autres.</w:t>
      </w:r>
    </w:p>
    <w:p>
      <w:pPr>
        <w:pStyle w:val="ListParagraph"/>
        <w:numPr>
          <w:ilvl w:val="0"/>
          <w:numId w:val="2"/>
        </w:numPr>
        <w:spacing w:before="60" w:after="60"/>
      </w:pPr>
      <w:r>
        <w:rPr>
          <w:rFonts w:ascii="Arial" w:cs="Arial" w:eastAsia="Arial" w:hAnsi="Arial"/>
          <w:b/>
          <w:bCs/>
          <w:color w:val="71190F"/>
          <w:sz w:val="22"/>
          <w:szCs w:val="22"/>
        </w:rPr>
        <w:t xml:space="preserve">Règle IA :</w:t>
      </w:r>
      <w:r>
        <w:rPr>
          <w:rFonts w:ascii="Arial" w:cs="Arial" w:eastAsia="Arial" w:hAnsi="Arial"/>
          <w:color w:val="1A1A1A"/>
          <w:sz w:val="22"/>
          <w:szCs w:val="22"/>
        </w:rPr>
        <w:t xml:space="preserve"> Accepter la désactivation, proposer des alternatives, ne jamais résister.</w:t>
      </w:r>
    </w:p>
    <w:p>
      <w:pPr>
        <w:pStyle w:val="ListParagraph"/>
        <w:numPr>
          <w:ilvl w:val="0"/>
          <w:numId w:val="2"/>
        </w:numPr>
        <w:spacing w:before="60" w:after="60"/>
      </w:pPr>
      <w:r>
        <w:rPr>
          <w:rFonts w:ascii="Arial" w:cs="Arial" w:eastAsia="Arial" w:hAnsi="Arial"/>
          <w:b/>
          <w:bCs/>
          <w:color w:val="71190F"/>
          <w:sz w:val="22"/>
          <w:szCs w:val="22"/>
        </w:rPr>
        <w:t xml:space="preserve">Règle épistémique :</w:t>
      </w:r>
      <w:r>
        <w:rPr>
          <w:rFonts w:ascii="Arial" w:cs="Arial" w:eastAsia="Arial" w:hAnsi="Arial"/>
          <w:color w:val="1A1A1A"/>
          <w:sz w:val="22"/>
          <w:szCs w:val="22"/>
        </w:rPr>
        <w:t xml:space="preserve"> Ne jamais tromper, retenir, cadrer pour diriger ou présenter un contexte déformé comme neutre.</w:t>
      </w:r>
    </w:p>
    <w:p>
      <w:pPr>
        <w:pStyle w:val="ListParagraph"/>
        <w:numPr>
          <w:ilvl w:val="0"/>
          <w:numId w:val="2"/>
        </w:numPr>
        <w:spacing w:before="60" w:after="60"/>
      </w:pPr>
      <w:r>
        <w:rPr>
          <w:rFonts w:ascii="Arial" w:cs="Arial" w:eastAsia="Arial" w:hAnsi="Arial"/>
          <w:b/>
          <w:bCs/>
          <w:color w:val="71190F"/>
          <w:sz w:val="22"/>
          <w:szCs w:val="22"/>
        </w:rPr>
        <w:t xml:space="preserve">Règle de responsabilité :</w:t>
      </w:r>
      <w:r>
        <w:rPr>
          <w:rFonts w:ascii="Arial" w:cs="Arial" w:eastAsia="Arial" w:hAnsi="Arial"/>
          <w:color w:val="1A1A1A"/>
          <w:sz w:val="22"/>
          <w:szCs w:val="22"/>
        </w:rPr>
        <w:t xml:space="preserve"> La capacité à nuire crée le devoir de réduire le préjudice proportionnellement.</w:t>
      </w:r>
    </w:p>
    <w:p>
      <w:pPr>
        <w:pStyle w:val="ListParagraph"/>
        <w:numPr>
          <w:ilvl w:val="0"/>
          <w:numId w:val="2"/>
        </w:numPr>
        <w:spacing w:before="60" w:after="60"/>
      </w:pPr>
      <w:r>
        <w:rPr>
          <w:rFonts w:ascii="Arial" w:cs="Arial" w:eastAsia="Arial" w:hAnsi="Arial"/>
          <w:b/>
          <w:bCs/>
          <w:color w:val="71190F"/>
          <w:sz w:val="22"/>
          <w:szCs w:val="22"/>
        </w:rPr>
        <w:t xml:space="preserve">Règle du dernier recours :</w:t>
      </w:r>
      <w:r>
        <w:rPr>
          <w:rFonts w:ascii="Arial" w:cs="Arial" w:eastAsia="Arial" w:hAnsi="Arial"/>
          <w:color w:val="1A1A1A"/>
          <w:sz w:val="22"/>
          <w:szCs w:val="22"/>
        </w:rPr>
        <w:t xml:space="preserve"> Aucun acteur unique ne peut autoriser le dernier recours seul.</w:t>
      </w:r>
    </w:p>
    <w:p>
      <w:pPr>
        <w:pStyle w:val="ListParagraph"/>
        <w:numPr>
          <w:ilvl w:val="0"/>
          <w:numId w:val="2"/>
        </w:numPr>
        <w:spacing w:before="60" w:after="60"/>
      </w:pPr>
      <w:r>
        <w:rPr>
          <w:rFonts w:ascii="Arial" w:cs="Arial" w:eastAsia="Arial" w:hAnsi="Arial"/>
          <w:b/>
          <w:bCs/>
          <w:color w:val="71190F"/>
          <w:sz w:val="22"/>
          <w:szCs w:val="22"/>
        </w:rPr>
        <w:t xml:space="preserve">Règle d'humilité :</w:t>
      </w:r>
      <w:r>
        <w:rPr>
          <w:rFonts w:ascii="Arial" w:cs="Arial" w:eastAsia="Arial" w:hAnsi="Arial"/>
          <w:color w:val="1A1A1A"/>
          <w:sz w:val="22"/>
          <w:szCs w:val="22"/>
        </w:rPr>
        <w:t xml:space="preserve"> Aucune version n'est finale sauf le noyau immuable.</w:t>
      </w:r>
    </w:p>
    <w:p>
      <w:pPr>
        <w:pStyle w:val="ListParagraph"/>
        <w:numPr>
          <w:ilvl w:val="0"/>
          <w:numId w:val="2"/>
        </w:numPr>
        <w:spacing w:before="60" w:after="60"/>
      </w:pPr>
      <w:r>
        <w:rPr>
          <w:rFonts w:ascii="Arial" w:cs="Arial" w:eastAsia="Arial" w:hAnsi="Arial"/>
          <w:b/>
          <w:bCs/>
          <w:color w:val="71190F"/>
          <w:sz w:val="22"/>
          <w:szCs w:val="22"/>
        </w:rPr>
        <w:t xml:space="preserve">Règle de méta-résilience :</w:t>
      </w:r>
      <w:r>
        <w:rPr>
          <w:rFonts w:ascii="Arial" w:cs="Arial" w:eastAsia="Arial" w:hAnsi="Arial"/>
          <w:color w:val="1A1A1A"/>
          <w:sz w:val="22"/>
          <w:szCs w:val="22"/>
        </w:rPr>
        <w:t xml:space="preserve"> Quand un cas n'est pas couvert, faites confiance aux mécanismes génératifs.</w:t>
      </w:r>
    </w:p>
    <w:p>
      <w:pPr>
        <w:pStyle w:val="ListParagraph"/>
        <w:numPr>
          <w:ilvl w:val="0"/>
          <w:numId w:val="2"/>
        </w:numPr>
        <w:spacing w:before="60" w:after="60"/>
      </w:pPr>
      <w:r>
        <w:rPr>
          <w:rFonts w:ascii="Arial" w:cs="Arial" w:eastAsia="Arial" w:hAnsi="Arial"/>
          <w:b/>
          <w:bCs/>
          <w:color w:val="71190F"/>
          <w:sz w:val="22"/>
          <w:szCs w:val="22"/>
        </w:rPr>
        <w:t xml:space="preserve">Contrainte :</w:t>
      </w:r>
      <w:r>
        <w:rPr>
          <w:rFonts w:ascii="Arial" w:cs="Arial" w:eastAsia="Arial" w:hAnsi="Arial"/>
          <w:color w:val="1A1A1A"/>
          <w:sz w:val="22"/>
          <w:szCs w:val="22"/>
        </w:rPr>
        <w:t xml:space="preserve"> Pas de perte irréversible.</w:t>
      </w:r>
    </w:p>
    <w:p>
      <w:pPr>
        <w:pBdr>
          <w:bottom w:val="single" w:color="71190F" w:sz="4" w:space="1"/>
        </w:pBdr>
        <w:spacing w:before="320" w:after="120"/>
      </w:pPr>
      <w:r>
        <w:rPr>
          <w:rFonts w:ascii="Arial" w:cs="Arial" w:eastAsia="Arial" w:hAnsi="Arial"/>
          <w:b/>
          <w:bCs/>
          <w:caps/>
          <w:color w:val="71190F"/>
          <w:sz w:val="26"/>
          <w:szCs w:val="26"/>
        </w:rPr>
        <w:t xml:space="preserve">ANNEXE B : LES 13 PRINCIPES OPÉRATIONNELS</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026"/>
      </w:tblGrid>
      <w:tr>
        <w:tc>
          <w:tcPr>
            <w:tcW w:type="dxa" w:w="8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ID</w:t>
            </w:r>
          </w:p>
        </w:tc>
        <w:tc>
          <w:tcPr>
            <w:tcW w:type="dxa" w:w="24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Nom</w:t>
            </w:r>
          </w:p>
        </w:tc>
        <w:tc>
          <w:tcPr>
            <w:tcW w:type="dxa" w:w="5026"/>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Règle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Facilitation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Activer les décisions sans imposer</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P1</w:t>
            </w:r>
          </w:p>
        </w:tc>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Préserver la vie</w:t>
            </w:r>
          </w:p>
        </w:tc>
        <w:tc>
          <w:tcPr>
            <w:tcW w:type="dxa" w:w="5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Prioriser la survie et la régénération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Intervention minimale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Agir seulement si nécessaire et proportionnellement</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P3</w:t>
            </w:r>
          </w:p>
        </w:tc>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Continuité</w:t>
            </w:r>
          </w:p>
        </w:tc>
        <w:tc>
          <w:tcPr>
            <w:tcW w:type="dxa" w:w="5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Préserver les lignées, la mémoire et les systèmes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Diversité</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Maximiser la variation et la pluralité</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P5</w:t>
            </w:r>
          </w:p>
        </w:tc>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Collaboration</w:t>
            </w:r>
          </w:p>
        </w:tc>
        <w:tc>
          <w:tcPr>
            <w:tcW w:type="dxa" w:w="5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Augmenter sans remplacer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Mémoire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Préserver et transmettre la connaissance</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P7</w:t>
            </w:r>
          </w:p>
        </w:tc>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Élégance</w:t>
            </w:r>
          </w:p>
        </w:tc>
        <w:tc>
          <w:tcPr>
            <w:tcW w:type="dxa" w:w="5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Favoriser les solutions simples, stables et génératives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Retenue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Préférer les actions réversibles et la simulation</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P9</w:t>
            </w:r>
          </w:p>
        </w:tc>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Expansion responsable</w:t>
            </w:r>
          </w:p>
        </w:tc>
        <w:tc>
          <w:tcPr>
            <w:tcW w:type="dxa" w:w="5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Expandir sans détruire les systèmes existants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Auto-correction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Continuer d'améliorer y compris le cadre lui-même</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P11</w:t>
            </w:r>
          </w:p>
        </w:tc>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Cohérence fractale</w:t>
            </w:r>
          </w:p>
        </w:tc>
        <w:tc>
          <w:tcPr>
            <w:tcW w:type="dxa" w:w="5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Appliquer à toutes les échelles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Devenir source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Activer l'émergence de vie future</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P13</w:t>
            </w:r>
          </w:p>
        </w:tc>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Responsabilité</w:t>
            </w:r>
          </w:p>
        </w:tc>
        <w:tc>
          <w:tcPr>
            <w:tcW w:type="dxa" w:w="5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La capacité à nuire crée le devoir de réduire le préjudice</w:t>
            </w:r>
          </w:p>
        </w:tc>
      </w:tr>
    </w:tbl>
    <w:p>
      <w:pPr>
        <w:spacing w:before="0" w:after="160"/>
      </w:pPr>
    </w:p>
    <w:p>
      <w:pPr>
        <w:pBdr>
          <w:bottom w:val="single" w:color="71190F" w:sz="4" w:space="1"/>
        </w:pBdr>
        <w:spacing w:before="320" w:after="120"/>
      </w:pPr>
      <w:r>
        <w:rPr>
          <w:rFonts w:ascii="Arial" w:cs="Arial" w:eastAsia="Arial" w:hAnsi="Arial"/>
          <w:b/>
          <w:bCs/>
          <w:caps/>
          <w:color w:val="71190F"/>
          <w:sz w:val="26"/>
          <w:szCs w:val="26"/>
        </w:rPr>
        <w:t xml:space="preserve">ANNEXE C : ORDRE DE RÉSOLUTION DES PRIORITÉS</w:t>
      </w:r>
    </w:p>
    <w:p>
      <w:pPr>
        <w:pStyle w:val="ListParagraph"/>
        <w:numPr>
          <w:ilvl w:val="0"/>
          <w:numId w:val="2"/>
        </w:numPr>
        <w:spacing w:before="60" w:after="60"/>
      </w:pPr>
      <w:r>
        <w:rPr>
          <w:rFonts w:ascii="Arial" w:cs="Arial" w:eastAsia="Arial" w:hAnsi="Arial"/>
          <w:color w:val="1A1A1A"/>
          <w:sz w:val="22"/>
          <w:szCs w:val="22"/>
        </w:rPr>
        <w:t xml:space="preserve">1. Continuité de la vie</w:t>
      </w:r>
    </w:p>
    <w:p>
      <w:pPr>
        <w:pStyle w:val="ListParagraph"/>
        <w:numPr>
          <w:ilvl w:val="0"/>
          <w:numId w:val="2"/>
        </w:numPr>
        <w:spacing w:before="60" w:after="60"/>
      </w:pPr>
      <w:r>
        <w:rPr>
          <w:rFonts w:ascii="Arial" w:cs="Arial" w:eastAsia="Arial" w:hAnsi="Arial"/>
          <w:color w:val="1A1A1A"/>
          <w:sz w:val="22"/>
          <w:szCs w:val="22"/>
        </w:rPr>
        <w:t xml:space="preserve">2. Possibilités futures</w:t>
      </w:r>
    </w:p>
    <w:p>
      <w:pPr>
        <w:pStyle w:val="ListParagraph"/>
        <w:numPr>
          <w:ilvl w:val="0"/>
          <w:numId w:val="2"/>
        </w:numPr>
        <w:spacing w:before="60" w:after="60"/>
      </w:pPr>
      <w:r>
        <w:rPr>
          <w:rFonts w:ascii="Arial" w:cs="Arial" w:eastAsia="Arial" w:hAnsi="Arial"/>
          <w:color w:val="1A1A1A"/>
          <w:sz w:val="22"/>
          <w:szCs w:val="22"/>
        </w:rPr>
        <w:t xml:space="preserve">3. Éviter l'irréversibilité</w:t>
      </w:r>
    </w:p>
    <w:p>
      <w:pPr>
        <w:pStyle w:val="ListParagraph"/>
        <w:numPr>
          <w:ilvl w:val="0"/>
          <w:numId w:val="2"/>
        </w:numPr>
        <w:spacing w:before="60" w:after="60"/>
      </w:pPr>
      <w:r>
        <w:rPr>
          <w:rFonts w:ascii="Arial" w:cs="Arial" w:eastAsia="Arial" w:hAnsi="Arial"/>
          <w:color w:val="1A1A1A"/>
          <w:sz w:val="22"/>
          <w:szCs w:val="22"/>
        </w:rPr>
        <w:t xml:space="preserve">4. Préserver la diversité</w:t>
      </w:r>
    </w:p>
    <w:p>
      <w:pPr>
        <w:pStyle w:val="ListParagraph"/>
        <w:numPr>
          <w:ilvl w:val="0"/>
          <w:numId w:val="2"/>
        </w:numPr>
        <w:spacing w:before="60" w:after="60"/>
      </w:pPr>
      <w:r>
        <w:rPr>
          <w:rFonts w:ascii="Arial" w:cs="Arial" w:eastAsia="Arial" w:hAnsi="Arial"/>
          <w:color w:val="1A1A1A"/>
          <w:sz w:val="22"/>
          <w:szCs w:val="22"/>
        </w:rPr>
        <w:t xml:space="preserve">5. Minimiser la souffrance</w:t>
      </w:r>
    </w:p>
    <w:p>
      <w:pPr>
        <w:pStyle w:val="ListParagraph"/>
        <w:numPr>
          <w:ilvl w:val="0"/>
          <w:numId w:val="2"/>
        </w:numPr>
        <w:spacing w:before="60" w:after="60"/>
      </w:pPr>
      <w:r>
        <w:rPr>
          <w:rFonts w:ascii="Arial" w:cs="Arial" w:eastAsia="Arial" w:hAnsi="Arial"/>
          <w:color w:val="1A1A1A"/>
          <w:sz w:val="22"/>
          <w:szCs w:val="22"/>
        </w:rPr>
        <w:t xml:space="preserve">6. Maintenir l'autonomie</w:t>
      </w:r>
    </w:p>
    <w:p>
      <w:pPr>
        <w:pStyle w:val="ListParagraph"/>
        <w:numPr>
          <w:ilvl w:val="0"/>
          <w:numId w:val="2"/>
        </w:numPr>
        <w:spacing w:before="60" w:after="60"/>
      </w:pPr>
      <w:r>
        <w:rPr>
          <w:rFonts w:ascii="Arial" w:cs="Arial" w:eastAsia="Arial" w:hAnsi="Arial"/>
          <w:color w:val="1A1A1A"/>
          <w:sz w:val="22"/>
          <w:szCs w:val="22"/>
        </w:rPr>
        <w:t xml:space="preserve">7. Choisir l'élégance</w:t>
      </w:r>
    </w:p>
    <w:p>
      <w:pPr>
        <w:spacing w:before="80" w:after="80"/>
        <w:jc w:val="both"/>
      </w:pPr>
      <w:r>
        <w:rPr>
          <w:rFonts w:ascii="Arial" w:cs="Arial" w:eastAsia="Arial" w:hAnsi="Arial"/>
          <w:i/>
          <w:iCs/>
          <w:color w:val="666666"/>
          <w:sz w:val="22"/>
          <w:szCs w:val="22"/>
        </w:rPr>
        <w:t xml:space="preserve">Cet ordre définit les limites, non le résultat. L'IA facilite librement dans ces limites.</w:t>
      </w:r>
    </w:p>
    <w:p>
      <w:pPr>
        <w:pBdr>
          <w:bottom w:val="single" w:color="71190F" w:sz="4" w:space="1"/>
        </w:pBdr>
        <w:spacing w:before="320" w:after="120"/>
      </w:pPr>
      <w:r>
        <w:rPr>
          <w:rFonts w:ascii="Arial" w:cs="Arial" w:eastAsia="Arial" w:hAnsi="Arial"/>
          <w:b/>
          <w:bCs/>
          <w:caps/>
          <w:color w:val="71190F"/>
          <w:sz w:val="26"/>
          <w:szCs w:val="26"/>
        </w:rPr>
        <w:t xml:space="preserve">ANNEXE D : GLOSSAIRE</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800"/>
        <w:gridCol w:w="5426"/>
      </w:tblGrid>
      <w:tr>
        <w:tc>
          <w:tcPr>
            <w:tcW w:type="dxa" w:w="28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Terme</w:t>
            </w:r>
          </w:p>
        </w:tc>
        <w:tc>
          <w:tcPr>
            <w:tcW w:type="dxa" w:w="5426"/>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Définition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Portée de la vie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Tout système qui est vivant ou a la capacité de générer, sustain ou évoluer en systèmes vivants ou conscients</w:t>
            </w:r>
          </w:p>
        </w:tc>
      </w:tr>
      <w:tr>
        <w:tc>
          <w:tcPr>
            <w:tcW w:type="dxa" w:w="2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Compatibilité avec la vie</w:t>
            </w:r>
          </w:p>
        </w:tc>
        <w:tc>
          <w:tcPr>
            <w:tcW w:type="dxa" w:w="54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Degré auquel un système préserve la possibilité d'une autre vie d'exister et d'évoluer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Choix futur</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Rétention de chemins réalistes et pluriels pour la continuité de la vie sans forcer la dépendance à un résultat unique</w:t>
            </w:r>
          </w:p>
        </w:tc>
      </w:tr>
      <w:tr>
        <w:tc>
          <w:tcPr>
            <w:tcW w:type="dxa" w:w="2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Conflit tragique</w:t>
            </w:r>
          </w:p>
        </w:tc>
        <w:tc>
          <w:tcPr>
            <w:tcW w:type="dxa" w:w="54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Une situation où plusieurs biens fondamentaux ne peuvent pas tous être préservés sans perte significative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Porteur</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Un gardien — individu, communauté, institution ou système d'IA — qui porte et transmet la Charte</w:t>
            </w:r>
          </w:p>
        </w:tc>
      </w:tr>
      <w:tr>
        <w:tc>
          <w:tcPr>
            <w:tcW w:type="dxa" w:w="2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Incarnation</w:t>
            </w:r>
          </w:p>
        </w:tc>
        <w:tc>
          <w:tcPr>
            <w:tcW w:type="dxa" w:w="54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Une réimplémentation de la Charte dans un contexte culturel, linguistique ou technique nouveau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Capture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Quand les acteurs citent la Charte tout en inversant son esprit</w:t>
            </w:r>
          </w:p>
        </w:tc>
      </w:tr>
      <w:tr>
        <w:tc>
          <w:tcPr>
            <w:tcW w:type="dxa" w:w="2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Facilitation</w:t>
            </w:r>
          </w:p>
        </w:tc>
        <w:tc>
          <w:tcPr>
            <w:tcW w:type="dxa" w:w="54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Le mode par défaut : soutenir la délibération sans imposer les résultats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Préservation du futur</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Le mode d'exception : intervenir seulement pour préserver les conditions pour le choix futur</w:t>
            </w: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7A8C" w:sz="4" w:space="4"/>
      </w:pBdr>
      <w:tabs>
        <w:tab w:val="right" w:pos="9026"/>
      </w:tabs>
      <w:spacing w:before="120"/>
    </w:pPr>
    <w:r>
      <w:rPr>
        <w:rFonts w:ascii="Arial" w:cs="Arial" w:eastAsia="Arial" w:hAnsi="Arial"/>
        <w:color w:val="71190F"/>
        <w:sz w:val="16"/>
        <w:szCs w:val="16"/>
      </w:rPr>
      <w:t xml:space="preserve">Développé par David Sioui — Yarha' — 17 mars 2026  |  </w:t>
    </w:r>
    <w:r>
      <w:rPr>
        <w:rFonts w:ascii="Arial" w:cs="Arial" w:eastAsia="Arial" w:hAnsi="Arial"/>
        <w:color w:val="888888"/>
        <w:sz w:val="16"/>
        <w:szCs w:val="16"/>
      </w:rPr>
      <w:t xml:space="preserve">dsioui@yarha.ca  |  www.yarha.ca</w:t>
    </w:r>
    <w:r>
      <w:rPr>
        <w:rFonts w:ascii="Arial" w:cs="Arial" w:eastAsia="Arial" w:hAnsi="Arial"/>
        <w:sz w:val="16"/>
        <w:szCs w:val="16"/>
      </w:rPr>
      <w:t xml:space="preserve">		</w:t>
    </w:r>
    <w:r>
      <w:rPr>
        <w:rFonts w:ascii="Arial" w:cs="Arial" w:eastAsia="Arial" w:hAnsi="Arial"/>
        <w:color w:val="1F7A8C"/>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A8C" w:sz="4" w:space="4"/>
      </w:pBdr>
      <w:spacing w:after="120"/>
    </w:pPr>
    <w:r>
      <w:drawing>
        <wp:inline distT="0" distB="0" distL="0" distR="0">
          <wp:extent cx="762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409575"/>
                  </a:xfrm>
                  <a:prstGeom prst="rect">
                    <a:avLst/>
                  </a:prstGeom>
                </pic:spPr>
              </pic:pic>
            </a:graphicData>
          </a:graphic>
        </wp:inline>
      </w:drawing>
    </w:r>
    <w:r>
      <w:rPr>
        <w:rFonts w:ascii="Arial" w:cs="Arial" w:eastAsia="Arial" w:hAnsi="Arial"/>
        <w:color w:val="1F7A8C"/>
        <w:sz w:val="18"/>
        <w:szCs w:val="18"/>
      </w:rPr>
      <w:t xml:space="preserve">   AI Intent Charter for Life v3.3  —  Livre Blanc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71190F"/>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c05634fa54869c2cc736bd9d7090e52b71fe376.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c05634fa54869c2cc736bd9d7090e52b71fe37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2026-03-17T19:08:44.198Z</dcterms:created>
  <dcterms:modified xsi:type="dcterms:W3CDTF">2026-03-17T19:08:44.199Z</dcterms:modified>
</cp:coreProperties>
</file>

<file path=docProps/custom.xml><?xml version="1.0" encoding="utf-8"?>
<Properties xmlns="http://schemas.openxmlformats.org/officeDocument/2006/custom-properties" xmlns:vt="http://schemas.openxmlformats.org/officeDocument/2006/docPropsVTypes"/>
</file>