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600"/>
        <w:jc w:val="center"/>
      </w:pPr>
      <w:r>
        <w:drawing>
          <wp:inline distT="0" distB="0" distL="0" distR="0">
            <wp:extent cx="209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123950"/>
                    </a:xfrm>
                    <a:prstGeom prst="rect">
                      <a:avLst/>
                    </a:prstGeom>
                  </pic:spPr>
                </pic:pic>
              </a:graphicData>
            </a:graphic>
          </wp:inline>
        </w:drawing>
      </w:r>
    </w:p>
    <w:p>
      <w:pPr>
        <w:pBdr>
          <w:bottom w:val="single" w:color="71190F" w:sz="12" w:space="1"/>
        </w:pBdr>
        <w:spacing w:before="0" w:after="400"/>
      </w:pPr>
    </w:p>
    <w:p>
      <w:pPr>
        <w:spacing w:before="0" w:after="120"/>
        <w:jc w:val="center"/>
      </w:pPr>
      <w:r>
        <w:rPr>
          <w:rFonts w:ascii="Arial" w:cs="Arial" w:eastAsia="Arial" w:hAnsi="Arial"/>
          <w:caps/>
          <w:color w:val="1F7A8C"/>
          <w:spacing w:val="80"/>
          <w:sz w:val="24"/>
          <w:szCs w:val="24"/>
        </w:rPr>
        <w:t xml:space="preserve">AI INTENT CHARTER FOR LIFE</w:t>
      </w:r>
    </w:p>
    <w:p>
      <w:pPr>
        <w:spacing w:before="0" w:after="80"/>
        <w:jc w:val="center"/>
      </w:pPr>
      <w:r>
        <w:rPr>
          <w:rFonts w:ascii="Arial" w:cs="Arial" w:eastAsia="Arial" w:hAnsi="Arial"/>
          <w:b/>
          <w:bCs/>
          <w:color w:val="002F49"/>
          <w:sz w:val="48"/>
          <w:szCs w:val="48"/>
        </w:rPr>
        <w:t xml:space="preserve">PLAN STRATÉGIQUE</w:t>
      </w:r>
    </w:p>
    <w:p>
      <w:pPr>
        <w:spacing w:before="0" w:after="200"/>
        <w:jc w:val="center"/>
      </w:pPr>
      <w:r>
        <w:rPr>
          <w:rFonts w:ascii="Arial" w:cs="Arial" w:eastAsia="Arial" w:hAnsi="Arial"/>
          <w:b/>
          <w:bCs/>
          <w:color w:val="002F49"/>
          <w:sz w:val="48"/>
          <w:szCs w:val="48"/>
        </w:rPr>
        <w:t xml:space="preserve">DIFFUSION &amp; IMPLÉMENTATIONS</w:t>
      </w:r>
    </w:p>
    <w:p>
      <w:pPr>
        <w:spacing w:before="0" w:after="600"/>
        <w:jc w:val="center"/>
      </w:pPr>
      <w:r>
        <w:rPr>
          <w:rFonts w:ascii="Arial" w:cs="Arial" w:eastAsia="Arial" w:hAnsi="Arial"/>
          <w:i/>
          <w:iCs/>
          <w:color w:val="71190F"/>
          <w:sz w:val="24"/>
          <w:szCs w:val="24"/>
        </w:rPr>
        <w:t xml:space="preserve">Vision stratégique + Feuille de route opérationnelle</w:t>
      </w:r>
    </w:p>
    <w:p>
      <w:pPr>
        <w:pBdr>
          <w:bottom w:val="single" w:color="1F7A8C" w:sz="4" w:space="1"/>
        </w:pBdr>
        <w:spacing w:before="0" w:after="400"/>
      </w:pPr>
    </w:p>
    <w:p>
      <w:pPr>
        <w:spacing w:before="0" w:after="600"/>
        <w:ind w:left="560" w:right="560"/>
        <w:jc w:val="center"/>
      </w:pPr>
      <w:r>
        <w:rPr>
          <w:rFonts w:ascii="Arial" w:cs="Arial" w:eastAsia="Arial" w:hAnsi="Arial"/>
          <w:i/>
          <w:iCs/>
          <w:color w:val="002F49"/>
          <w:sz w:val="23"/>
          <w:szCs w:val="23"/>
        </w:rPr>
        <w:t xml:space="preserve">Un cadre développé depuis la pratique terrain, ancré dans les traditions Wendat et Innu, en dialogue avec l'intelligence artificielle.</w:t>
      </w:r>
    </w:p>
    <w:p>
      <w:pPr>
        <w:spacing w:before="0" w:after="400"/>
        <w:jc w:val="center"/>
      </w:pPr>
      <w:r>
        <w:rPr>
          <w:rFonts w:ascii="Arial" w:cs="Arial" w:eastAsia="Arial" w:hAnsi="Arial"/>
          <w:color w:val="666666"/>
          <w:sz w:val="20"/>
          <w:szCs w:val="20"/>
        </w:rPr>
        <w:t xml:space="preserve">Mars 2026  —  v3.3</w:t>
      </w:r>
    </w:p>
    <w:p>
      <w:pPr>
        <w:pBdr>
          <w:top w:val="single" w:color="71190F" w:sz="4" w:space="1"/>
        </w:pBdr>
        <w:spacing w:before="0" w:after="160"/>
      </w:pPr>
    </w:p>
    <w:p>
      <w:pPr>
        <w:spacing w:before="0" w:after="60"/>
        <w:jc w:val="center"/>
      </w:pPr>
      <w:r>
        <w:rPr>
          <w:rFonts w:ascii="Arial" w:cs="Arial" w:eastAsia="Arial" w:hAnsi="Arial"/>
          <w:b/>
          <w:bCs/>
          <w:color w:val="71190F"/>
          <w:sz w:val="20"/>
          <w:szCs w:val="20"/>
        </w:rPr>
        <w:t xml:space="preserve">Développé par David Sioui — Yarha' — 17 mars 2026</w:t>
      </w:r>
    </w:p>
    <w:p>
      <w:pPr>
        <w:spacing w:before="0" w:after="60"/>
        <w:jc w:val="center"/>
      </w:pPr>
      <w:r>
        <w:rPr>
          <w:rFonts w:ascii="Arial" w:cs="Arial" w:eastAsia="Arial" w:hAnsi="Arial"/>
          <w:color w:val="1F7A8C"/>
          <w:sz w:val="19"/>
          <w:szCs w:val="19"/>
        </w:rPr>
        <w:t xml:space="preserve">AI Intent Charter for Life v3.3</w:t>
      </w:r>
    </w:p>
    <w:p>
      <w:pPr>
        <w:spacing w:before="0" w:after="0"/>
        <w:jc w:val="center"/>
      </w:pPr>
      <w:r>
        <w:rPr>
          <w:rFonts w:ascii="Arial" w:cs="Arial" w:eastAsia="Arial" w:hAnsi="Arial"/>
          <w:color w:val="888888"/>
          <w:sz w:val="18"/>
          <w:szCs w:val="18"/>
        </w:rPr>
        <w:t xml:space="preserve">dsioui@yarha.ca  |  www.yarha.ca</w:t>
      </w:r>
    </w:p>
    <w:p>
      <w:r>
        <w:br w:type="page"/>
      </w:r>
    </w:p>
    <w:p>
      <w:pPr>
        <w:spacing w:before="480" w:after="200"/>
      </w:pPr>
      <w:r>
        <w:rPr>
          <w:rFonts w:ascii="Arial" w:cs="Arial" w:eastAsia="Arial" w:hAnsi="Arial"/>
          <w:b/>
          <w:bCs/>
          <w:color w:val="002F49"/>
          <w:sz w:val="38"/>
          <w:szCs w:val="38"/>
        </w:rPr>
        <w:t xml:space="preserve">PARTIE 1 — VISION STRATÉGIQUE</w:t>
      </w:r>
    </w:p>
    <w:p>
      <w:pPr>
        <w:pBdr>
          <w:bottom w:val="single" w:color="71190F" w:sz="4" w:space="1"/>
        </w:pBdr>
        <w:spacing w:before="320" w:after="120"/>
      </w:pPr>
      <w:r>
        <w:rPr>
          <w:rFonts w:ascii="Arial" w:cs="Arial" w:eastAsia="Arial" w:hAnsi="Arial"/>
          <w:b/>
          <w:bCs/>
          <w:caps/>
          <w:color w:val="71190F"/>
          <w:sz w:val="26"/>
          <w:szCs w:val="26"/>
        </w:rPr>
        <w:t xml:space="preserve">1.1 POSITIONNEMENT</w:t>
      </w:r>
    </w:p>
    <w:p>
      <w:pPr>
        <w:spacing w:before="80" w:after="80"/>
        <w:jc w:val="both"/>
      </w:pPr>
      <w:r>
        <w:rPr>
          <w:rFonts w:ascii="Arial" w:cs="Arial" w:eastAsia="Arial" w:hAnsi="Arial"/>
          <w:color w:val="1A1A1A"/>
          <w:sz w:val="22"/>
          <w:szCs w:val="22"/>
        </w:rPr>
        <w:t xml:space="preserve">L'AI Intent Charter for Life se positionne comme le premier cadre de gouvernance IA centré sur une fonction objectif positive : maximiser les possibilités futures du vivant. Cette position est unique et complémentaire aux cadres réglementaires existants.</w:t>
      </w:r>
    </w:p>
    <w:p>
      <w:pPr>
        <w:spacing w:before="80" w:after="80"/>
        <w:jc w:val="both"/>
      </w:pPr>
      <w:r>
        <w:rPr>
          <w:rFonts w:ascii="Arial" w:cs="Arial" w:eastAsia="Arial" w:hAnsi="Arial"/>
          <w:color w:val="1A1A1A"/>
          <w:sz w:val="22"/>
          <w:szCs w:val="22"/>
        </w:rPr>
        <w:t xml:space="preserve">Notre proposition : passer d'une logique de régulation des risques à une logique de finalité. Non pas seulement « que doit-on empêcher l'IA de faire ? » mais « au service de quoi l'IA doit-elle travailler ? »</w:t>
      </w:r>
    </w:p>
    <w:p>
      <w:pPr>
        <w:pBdr>
          <w:bottom w:val="single" w:color="71190F" w:sz="4" w:space="1"/>
        </w:pBdr>
        <w:spacing w:before="320" w:after="120"/>
      </w:pPr>
      <w:r>
        <w:rPr>
          <w:rFonts w:ascii="Arial" w:cs="Arial" w:eastAsia="Arial" w:hAnsi="Arial"/>
          <w:b/>
          <w:bCs/>
          <w:caps/>
          <w:color w:val="71190F"/>
          <w:sz w:val="26"/>
          <w:szCs w:val="26"/>
        </w:rPr>
        <w:t xml:space="preserve">1.2 AUDIENCES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c>
          <w:tcPr>
            <w:tcW w:type="dxa" w:w="20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Audience</w:t>
            </w:r>
          </w:p>
        </w:tc>
        <w:tc>
          <w:tcPr>
            <w:tcW w:type="dxa" w:w="22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Besoin clé</w:t>
            </w:r>
          </w:p>
        </w:tc>
        <w:tc>
          <w:tcPr>
            <w:tcW w:type="dxa" w:w="26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Message principal</w:t>
            </w:r>
          </w:p>
        </w:tc>
        <w:tc>
          <w:tcPr>
            <w:tcW w:type="dxa" w:w="22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Livrable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Grand public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Comprendre les enjeux IA simplement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L'IA doit servir la vie, pas la remplacer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Manifeste (version accessible)</w:t>
            </w:r>
          </w:p>
        </w:tc>
      </w:tr>
      <w:tr>
        <w:tc>
          <w:tcPr>
            <w:tcW w:type="dxa" w:w="2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Communauté tech/IA</w:t>
            </w:r>
          </w:p>
        </w:tc>
        <w:tc>
          <w:tcPr>
            <w:tcW w:type="dxa" w:w="2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Cadre opérationnel intégrable</w:t>
            </w:r>
          </w:p>
        </w:tc>
        <w:tc>
          <w:tcPr>
            <w:tcW w:type="dxa" w:w="2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Architecture + JSON parsable + posture application</w:t>
            </w:r>
          </w:p>
        </w:tc>
        <w:tc>
          <w:tcPr>
            <w:tcW w:type="dxa" w:w="22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Manifeste tech + White Paper + 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Leaders &amp; décideurs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Différenciation éthique crédible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Gouvernance distribuée + résilience + conformité</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Manifeste leaders + White Paper</w:t>
            </w:r>
          </w:p>
        </w:tc>
      </w:tr>
      <w:tr>
        <w:tc>
          <w:tcPr>
            <w:tcW w:type="dxa" w:w="2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Académiques &amp; chercheurs</w:t>
            </w:r>
          </w:p>
        </w:tc>
        <w:tc>
          <w:tcPr>
            <w:tcW w:type="dxa" w:w="2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Contribution intellectuelle originale</w:t>
            </w:r>
          </w:p>
        </w:tc>
        <w:tc>
          <w:tcPr>
            <w:tcW w:type="dxa" w:w="26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Tensions nommées + innovations conceptuelles</w:t>
            </w:r>
          </w:p>
        </w:tc>
        <w:tc>
          <w:tcPr>
            <w:tcW w:type="dxa" w:w="22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White Paper + JSON 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Organisations internationales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Complément aux cadres existants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Compatibilité + valeur ajoutée spécifique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White Paper + analyse comparative</w:t>
            </w:r>
          </w:p>
        </w:tc>
      </w:tr>
    </w:tbl>
    <w:p>
      <w:pPr>
        <w:spacing w:before="0" w:after="160"/>
      </w:pPr>
    </w:p>
    <w:p>
      <w:pPr>
        <w:pBdr>
          <w:bottom w:val="single" w:color="71190F" w:sz="4" w:space="1"/>
        </w:pBdr>
        <w:spacing w:before="320" w:after="120"/>
      </w:pPr>
      <w:r>
        <w:rPr>
          <w:rFonts w:ascii="Arial" w:cs="Arial" w:eastAsia="Arial" w:hAnsi="Arial"/>
          <w:b/>
          <w:bCs/>
          <w:caps/>
          <w:color w:val="71190F"/>
          <w:sz w:val="26"/>
          <w:szCs w:val="26"/>
        </w:rPr>
        <w:t xml:space="preserve">1.3 PROPOSITION DE VALEUR UNIQUE</w:t>
      </w:r>
    </w:p>
    <w:p>
      <w:pPr>
        <w:spacing w:before="80" w:after="80"/>
        <w:jc w:val="both"/>
      </w:pPr>
      <w:r>
        <w:rPr>
          <w:rFonts w:ascii="Arial" w:cs="Arial" w:eastAsia="Arial" w:hAnsi="Arial"/>
          <w:color w:val="1A1A1A"/>
          <w:sz w:val="22"/>
          <w:szCs w:val="22"/>
        </w:rPr>
        <w:t xml:space="preserve">Ce qui différencie la Charte de tout ce qui existe :</w:t>
      </w:r>
    </w:p>
    <w:p>
      <w:pPr>
        <w:pStyle w:val="ListParagraph"/>
        <w:numPr>
          <w:ilvl w:val="0"/>
          <w:numId w:val="2"/>
        </w:numPr>
        <w:spacing w:before="60" w:after="60"/>
      </w:pPr>
      <w:r>
        <w:rPr>
          <w:rFonts w:ascii="Arial" w:cs="Arial" w:eastAsia="Arial" w:hAnsi="Arial"/>
          <w:color w:val="1A1A1A"/>
          <w:sz w:val="22"/>
          <w:szCs w:val="22"/>
        </w:rPr>
        <w:t xml:space="preserve">Fonction objectif positive (pas seulement des interdits).</w:t>
      </w:r>
    </w:p>
    <w:p>
      <w:pPr>
        <w:pStyle w:val="ListParagraph"/>
        <w:numPr>
          <w:ilvl w:val="0"/>
          <w:numId w:val="2"/>
        </w:numPr>
        <w:spacing w:before="60" w:after="60"/>
      </w:pPr>
      <w:r>
        <w:rPr>
          <w:rFonts w:ascii="Arial" w:cs="Arial" w:eastAsia="Arial" w:hAnsi="Arial"/>
          <w:color w:val="1A1A1A"/>
          <w:sz w:val="22"/>
          <w:szCs w:val="22"/>
        </w:rPr>
        <w:t xml:space="preserve">Honnêteté radicale (tensions et biais fondateurs nommés).</w:t>
      </w:r>
    </w:p>
    <w:p>
      <w:pPr>
        <w:pStyle w:val="ListParagraph"/>
        <w:numPr>
          <w:ilvl w:val="0"/>
          <w:numId w:val="2"/>
        </w:numPr>
        <w:spacing w:before="60" w:after="60"/>
      </w:pPr>
      <w:r>
        <w:rPr>
          <w:rFonts w:ascii="Arial" w:cs="Arial" w:eastAsia="Arial" w:hAnsi="Arial"/>
          <w:color w:val="1A1A1A"/>
          <w:sz w:val="22"/>
          <w:szCs w:val="22"/>
        </w:rPr>
        <w:t xml:space="preserve">Résilience structurelle (fonctionne même dégradée).</w:t>
      </w:r>
    </w:p>
    <w:p>
      <w:pPr>
        <w:pStyle w:val="ListParagraph"/>
        <w:numPr>
          <w:ilvl w:val="0"/>
          <w:numId w:val="2"/>
        </w:numPr>
        <w:spacing w:before="60" w:after="60"/>
      </w:pPr>
      <w:r>
        <w:rPr>
          <w:rFonts w:ascii="Arial" w:cs="Arial" w:eastAsia="Arial" w:hAnsi="Arial"/>
          <w:color w:val="1A1A1A"/>
          <w:sz w:val="22"/>
          <w:szCs w:val="22"/>
        </w:rPr>
        <w:t xml:space="preserve">Adaptation culturelle légitime (protocole d'incarnation).</w:t>
      </w:r>
    </w:p>
    <w:p>
      <w:pPr>
        <w:pStyle w:val="ListParagraph"/>
        <w:numPr>
          <w:ilvl w:val="0"/>
          <w:numId w:val="2"/>
        </w:numPr>
        <w:spacing w:before="60" w:after="60"/>
      </w:pPr>
      <w:r>
        <w:rPr>
          <w:rFonts w:ascii="Arial" w:cs="Arial" w:eastAsia="Arial" w:hAnsi="Arial"/>
          <w:color w:val="1A1A1A"/>
          <w:sz w:val="22"/>
          <w:szCs w:val="22"/>
        </w:rPr>
        <w:t xml:space="preserve">Détection de capture intégrée (anti-récupération).</w:t>
      </w:r>
    </w:p>
    <w:p>
      <w:pPr>
        <w:pStyle w:val="ListParagraph"/>
        <w:numPr>
          <w:ilvl w:val="0"/>
          <w:numId w:val="2"/>
        </w:numPr>
        <w:spacing w:before="60" w:after="60"/>
      </w:pPr>
      <w:r>
        <w:rPr>
          <w:rFonts w:ascii="Arial" w:cs="Arial" w:eastAsia="Arial" w:hAnsi="Arial"/>
          <w:color w:val="1A1A1A"/>
          <w:sz w:val="22"/>
          <w:szCs w:val="22"/>
        </w:rPr>
        <w:t xml:space="preserve">Question de la conscience IA traitée avec un coût moral explicité.</w:t>
      </w:r>
    </w:p>
    <w:p>
      <w:r>
        <w:br w:type="page"/>
      </w:r>
    </w:p>
    <w:p>
      <w:pPr>
        <w:spacing w:before="480" w:after="200"/>
      </w:pPr>
      <w:r>
        <w:rPr>
          <w:rFonts w:ascii="Arial" w:cs="Arial" w:eastAsia="Arial" w:hAnsi="Arial"/>
          <w:b/>
          <w:bCs/>
          <w:color w:val="002F49"/>
          <w:sz w:val="38"/>
          <w:szCs w:val="38"/>
        </w:rPr>
        <w:t xml:space="preserve">PARTIE 2 — PLAN DE DIFFUSION STRATÉGIQUE</w:t>
      </w:r>
    </w:p>
    <w:p>
      <w:pPr>
        <w:pBdr>
          <w:bottom w:val="single" w:color="71190F" w:sz="4" w:space="1"/>
        </w:pBdr>
        <w:spacing w:before="320" w:after="120"/>
      </w:pPr>
      <w:r>
        <w:rPr>
          <w:rFonts w:ascii="Arial" w:cs="Arial" w:eastAsia="Arial" w:hAnsi="Arial"/>
          <w:b/>
          <w:bCs/>
          <w:caps/>
          <w:color w:val="71190F"/>
          <w:sz w:val="26"/>
          <w:szCs w:val="26"/>
        </w:rPr>
        <w:t xml:space="preserve">2.1 PHASE 1 — FONDATION (MOIS 1–3)</w:t>
      </w:r>
    </w:p>
    <w:p>
      <w:pPr>
        <w:spacing w:before="240" w:after="80"/>
      </w:pPr>
      <w:r>
        <w:rPr>
          <w:rFonts w:ascii="Arial" w:cs="Arial" w:eastAsia="Arial" w:hAnsi="Arial"/>
          <w:b/>
          <w:bCs/>
          <w:color w:val="1F7A8C"/>
          <w:sz w:val="24"/>
          <w:szCs w:val="24"/>
        </w:rPr>
        <w:t xml:space="preserve">Objectif : établir la présence numérique, sécuriser les premiers porteurs.</w:t>
      </w:r>
    </w:p>
    <w:p>
      <w:pPr>
        <w:spacing w:before="200" w:after="60"/>
      </w:pPr>
      <w:r>
        <w:rPr>
          <w:rFonts w:ascii="Arial" w:cs="Arial" w:eastAsia="Arial" w:hAnsi="Arial"/>
          <w:b/>
          <w:bCs/>
          <w:caps/>
          <w:color w:val="002F49"/>
          <w:sz w:val="22"/>
          <w:szCs w:val="22"/>
        </w:rPr>
        <w:t xml:space="preserve">Infrastructure numérique</w:t>
      </w:r>
    </w:p>
    <w:p>
      <w:pPr>
        <w:pStyle w:val="ListParagraph"/>
        <w:numPr>
          <w:ilvl w:val="0"/>
          <w:numId w:val="2"/>
        </w:numPr>
        <w:spacing w:before="60" w:after="60"/>
      </w:pPr>
      <w:r>
        <w:rPr>
          <w:rFonts w:ascii="Arial" w:cs="Arial" w:eastAsia="Arial" w:hAnsi="Arial"/>
          <w:color w:val="1A1A1A"/>
          <w:sz w:val="22"/>
          <w:szCs w:val="22"/>
        </w:rPr>
        <w:t xml:space="preserve">Site web dédié (www.yarha.ca) : Charte complète, manifestes, white paper, JSON téléchargeable.</w:t>
      </w:r>
    </w:p>
    <w:p>
      <w:pPr>
        <w:pStyle w:val="ListParagraph"/>
        <w:numPr>
          <w:ilvl w:val="0"/>
          <w:numId w:val="2"/>
        </w:numPr>
        <w:spacing w:before="60" w:after="60"/>
      </w:pPr>
      <w:r>
        <w:rPr>
          <w:rFonts w:ascii="Arial" w:cs="Arial" w:eastAsia="Arial" w:hAnsi="Arial"/>
          <w:color w:val="1A1A1A"/>
          <w:sz w:val="22"/>
          <w:szCs w:val="22"/>
        </w:rPr>
        <w:t xml:space="preserve">Repository GitHub/GitLab public : JSON source, historique des versions, issues ouvertes pour contributions.</w:t>
      </w:r>
    </w:p>
    <w:p>
      <w:pPr>
        <w:pStyle w:val="ListParagraph"/>
        <w:numPr>
          <w:ilvl w:val="0"/>
          <w:numId w:val="2"/>
        </w:numPr>
        <w:spacing w:before="60" w:after="60"/>
      </w:pPr>
      <w:r>
        <w:rPr>
          <w:rFonts w:ascii="Arial" w:cs="Arial" w:eastAsia="Arial" w:hAnsi="Arial"/>
          <w:color w:val="1A1A1A"/>
          <w:sz w:val="22"/>
          <w:szCs w:val="22"/>
        </w:rPr>
        <w:t xml:space="preserve">Présence réseaux sociaux : LinkedIn (audience professionnelle), X/Twitter (communauté IA), Mastodon (communauté open source).</w:t>
      </w:r>
    </w:p>
    <w:p>
      <w:pPr>
        <w:spacing w:before="200" w:after="60"/>
      </w:pPr>
      <w:r>
        <w:rPr>
          <w:rFonts w:ascii="Arial" w:cs="Arial" w:eastAsia="Arial" w:hAnsi="Arial"/>
          <w:b/>
          <w:bCs/>
          <w:caps/>
          <w:color w:val="002F49"/>
          <w:sz w:val="22"/>
          <w:szCs w:val="22"/>
        </w:rPr>
        <w:t xml:space="preserve">Premiers porteurs stratégiques</w:t>
      </w:r>
    </w:p>
    <w:p>
      <w:pPr>
        <w:pStyle w:val="ListParagraph"/>
        <w:numPr>
          <w:ilvl w:val="0"/>
          <w:numId w:val="2"/>
        </w:numPr>
        <w:spacing w:before="60" w:after="60"/>
      </w:pPr>
      <w:r>
        <w:rPr>
          <w:rFonts w:ascii="Arial" w:cs="Arial" w:eastAsia="Arial" w:hAnsi="Arial"/>
          <w:color w:val="1A1A1A"/>
          <w:sz w:val="22"/>
          <w:szCs w:val="22"/>
        </w:rPr>
        <w:t xml:space="preserve">5–10 chercheurs en éthique IA et alignement pour revue critique publique.</w:t>
      </w:r>
    </w:p>
    <w:p>
      <w:pPr>
        <w:pStyle w:val="ListParagraph"/>
        <w:numPr>
          <w:ilvl w:val="0"/>
          <w:numId w:val="2"/>
        </w:numPr>
        <w:spacing w:before="60" w:after="60"/>
      </w:pPr>
      <w:r>
        <w:rPr>
          <w:rFonts w:ascii="Arial" w:cs="Arial" w:eastAsia="Arial" w:hAnsi="Arial"/>
          <w:color w:val="1A1A1A"/>
          <w:sz w:val="22"/>
          <w:szCs w:val="22"/>
        </w:rPr>
        <w:t xml:space="preserve">3–5 développeurs/studios d'IA pour intégration expérimentale.</w:t>
      </w:r>
    </w:p>
    <w:p>
      <w:pPr>
        <w:pStyle w:val="ListParagraph"/>
        <w:numPr>
          <w:ilvl w:val="0"/>
          <w:numId w:val="2"/>
        </w:numPr>
        <w:spacing w:before="60" w:after="60"/>
      </w:pPr>
      <w:r>
        <w:rPr>
          <w:rFonts w:ascii="Arial" w:cs="Arial" w:eastAsia="Arial" w:hAnsi="Arial"/>
          <w:color w:val="1A1A1A"/>
          <w:sz w:val="22"/>
          <w:szCs w:val="22"/>
        </w:rPr>
        <w:t xml:space="preserve">2–3 organisations de la société civile pour ancrage non-technique.</w:t>
      </w:r>
    </w:p>
    <w:p>
      <w:pPr>
        <w:spacing w:before="200" w:after="60"/>
      </w:pPr>
      <w:r>
        <w:rPr>
          <w:rFonts w:ascii="Arial" w:cs="Arial" w:eastAsia="Arial" w:hAnsi="Arial"/>
          <w:b/>
          <w:bCs/>
          <w:caps/>
          <w:color w:val="002F49"/>
          <w:sz w:val="22"/>
          <w:szCs w:val="22"/>
        </w:rPr>
        <w:t xml:space="preserve">Contenus de lancement</w:t>
      </w:r>
    </w:p>
    <w:p>
      <w:pPr>
        <w:pStyle w:val="ListParagraph"/>
        <w:numPr>
          <w:ilvl w:val="0"/>
          <w:numId w:val="2"/>
        </w:numPr>
        <w:spacing w:before="60" w:after="60"/>
      </w:pPr>
      <w:r>
        <w:rPr>
          <w:rFonts w:ascii="Arial" w:cs="Arial" w:eastAsia="Arial" w:hAnsi="Arial"/>
          <w:color w:val="1A1A1A"/>
          <w:sz w:val="22"/>
          <w:szCs w:val="22"/>
        </w:rPr>
        <w:t xml:space="preserve">Article de fond : « Pourquoi l'IA a besoin d'une finalité, pas seulement de règles ».</w:t>
      </w:r>
    </w:p>
    <w:p>
      <w:pPr>
        <w:pStyle w:val="ListParagraph"/>
        <w:numPr>
          <w:ilvl w:val="0"/>
          <w:numId w:val="2"/>
        </w:numPr>
        <w:spacing w:before="60" w:after="60"/>
      </w:pPr>
      <w:r>
        <w:rPr>
          <w:rFonts w:ascii="Arial" w:cs="Arial" w:eastAsia="Arial" w:hAnsi="Arial"/>
          <w:color w:val="1A1A1A"/>
          <w:sz w:val="22"/>
          <w:szCs w:val="22"/>
        </w:rPr>
        <w:t xml:space="preserve">Thread X/Twitter expliquant la Charte en 15 tweets.</w:t>
      </w:r>
    </w:p>
    <w:p>
      <w:pPr>
        <w:pStyle w:val="ListParagraph"/>
        <w:numPr>
          <w:ilvl w:val="0"/>
          <w:numId w:val="2"/>
        </w:numPr>
        <w:spacing w:before="60" w:after="60"/>
      </w:pPr>
      <w:r>
        <w:rPr>
          <w:rFonts w:ascii="Arial" w:cs="Arial" w:eastAsia="Arial" w:hAnsi="Arial"/>
          <w:color w:val="1A1A1A"/>
          <w:sz w:val="22"/>
          <w:szCs w:val="22"/>
        </w:rPr>
        <w:t xml:space="preserve">Vidéo courte (3–5 min) : « La Charte en 5 minutes » pour YouTube et LinkedIn.</w:t>
      </w:r>
    </w:p>
    <w:p>
      <w:pPr>
        <w:pBdr>
          <w:bottom w:val="single" w:color="71190F" w:sz="4" w:space="1"/>
        </w:pBdr>
        <w:spacing w:before="320" w:after="120"/>
      </w:pPr>
      <w:r>
        <w:rPr>
          <w:rFonts w:ascii="Arial" w:cs="Arial" w:eastAsia="Arial" w:hAnsi="Arial"/>
          <w:b/>
          <w:bCs/>
          <w:caps/>
          <w:color w:val="71190F"/>
          <w:sz w:val="26"/>
          <w:szCs w:val="26"/>
        </w:rPr>
        <w:t xml:space="preserve">2.2 PHASE 2 — CRÉDIBILISATION (MOIS 4–9)</w:t>
      </w:r>
    </w:p>
    <w:p>
      <w:pPr>
        <w:spacing w:before="240" w:after="80"/>
      </w:pPr>
      <w:r>
        <w:rPr>
          <w:rFonts w:ascii="Arial" w:cs="Arial" w:eastAsia="Arial" w:hAnsi="Arial"/>
          <w:b/>
          <w:bCs/>
          <w:color w:val="1F7A8C"/>
          <w:sz w:val="24"/>
          <w:szCs w:val="24"/>
        </w:rPr>
        <w:t xml:space="preserve">Objectif : démontrer la crédibilité intellectuelle et l'applicabilité concrète.</w:t>
      </w:r>
    </w:p>
    <w:p>
      <w:pPr>
        <w:spacing w:before="200" w:after="60"/>
      </w:pPr>
      <w:r>
        <w:rPr>
          <w:rFonts w:ascii="Arial" w:cs="Arial" w:eastAsia="Arial" w:hAnsi="Arial"/>
          <w:b/>
          <w:bCs/>
          <w:caps/>
          <w:color w:val="002F49"/>
          <w:sz w:val="22"/>
          <w:szCs w:val="22"/>
        </w:rPr>
        <w:t xml:space="preserve">Validation académique</w:t>
      </w:r>
    </w:p>
    <w:p>
      <w:pPr>
        <w:pStyle w:val="ListParagraph"/>
        <w:numPr>
          <w:ilvl w:val="0"/>
          <w:numId w:val="2"/>
        </w:numPr>
        <w:spacing w:before="60" w:after="60"/>
      </w:pPr>
      <w:r>
        <w:rPr>
          <w:rFonts w:ascii="Arial" w:cs="Arial" w:eastAsia="Arial" w:hAnsi="Arial"/>
          <w:color w:val="1A1A1A"/>
          <w:sz w:val="22"/>
          <w:szCs w:val="22"/>
        </w:rPr>
        <w:t xml:space="preserve">Soumission d'articles à des conférences (AAAI, NeurIPS workshops on AI safety, ACM FAccT).</w:t>
      </w:r>
    </w:p>
    <w:p>
      <w:pPr>
        <w:pStyle w:val="ListParagraph"/>
        <w:numPr>
          <w:ilvl w:val="0"/>
          <w:numId w:val="2"/>
        </w:numPr>
        <w:spacing w:before="60" w:after="60"/>
      </w:pPr>
      <w:r>
        <w:rPr>
          <w:rFonts w:ascii="Arial" w:cs="Arial" w:eastAsia="Arial" w:hAnsi="Arial"/>
          <w:color w:val="1A1A1A"/>
          <w:sz w:val="22"/>
          <w:szCs w:val="22"/>
        </w:rPr>
        <w:t xml:space="preserve">Partenariat avec 2–3 universités pour études de cas.</w:t>
      </w:r>
    </w:p>
    <w:p>
      <w:pPr>
        <w:pStyle w:val="ListParagraph"/>
        <w:numPr>
          <w:ilvl w:val="0"/>
          <w:numId w:val="2"/>
        </w:numPr>
        <w:spacing w:before="60" w:after="60"/>
      </w:pPr>
      <w:r>
        <w:rPr>
          <w:rFonts w:ascii="Arial" w:cs="Arial" w:eastAsia="Arial" w:hAnsi="Arial"/>
          <w:color w:val="1A1A1A"/>
          <w:sz w:val="22"/>
          <w:szCs w:val="22"/>
        </w:rPr>
        <w:t xml:space="preserve">Publication du White Paper sur arXiv avec revue par les pairs informelle.</w:t>
      </w:r>
    </w:p>
    <w:p>
      <w:pPr>
        <w:spacing w:before="200" w:after="60"/>
      </w:pPr>
      <w:r>
        <w:rPr>
          <w:rFonts w:ascii="Arial" w:cs="Arial" w:eastAsia="Arial" w:hAnsi="Arial"/>
          <w:b/>
          <w:bCs/>
          <w:caps/>
          <w:color w:val="002F49"/>
          <w:sz w:val="22"/>
          <w:szCs w:val="22"/>
        </w:rPr>
        <w:t xml:space="preserve">Preuves de concept</w:t>
      </w:r>
    </w:p>
    <w:p>
      <w:pPr>
        <w:pStyle w:val="ListParagraph"/>
        <w:numPr>
          <w:ilvl w:val="0"/>
          <w:numId w:val="2"/>
        </w:numPr>
        <w:spacing w:before="60" w:after="60"/>
      </w:pPr>
      <w:r>
        <w:rPr>
          <w:rFonts w:ascii="Arial" w:cs="Arial" w:eastAsia="Arial" w:hAnsi="Arial"/>
          <w:color w:val="1A1A1A"/>
          <w:sz w:val="22"/>
          <w:szCs w:val="22"/>
        </w:rPr>
        <w:t xml:space="preserve">Intégration comme prompt système dans 3–5 projets pilotes (chatbots, agents autonomes, systèmes de recommandation).</w:t>
      </w:r>
    </w:p>
    <w:p>
      <w:pPr>
        <w:pStyle w:val="ListParagraph"/>
        <w:numPr>
          <w:ilvl w:val="0"/>
          <w:numId w:val="2"/>
        </w:numPr>
        <w:spacing w:before="60" w:after="60"/>
      </w:pPr>
      <w:r>
        <w:rPr>
          <w:rFonts w:ascii="Arial" w:cs="Arial" w:eastAsia="Arial" w:hAnsi="Arial"/>
          <w:color w:val="1A1A1A"/>
          <w:sz w:val="22"/>
          <w:szCs w:val="22"/>
        </w:rPr>
        <w:t xml:space="preserve">Documentation publique des résultats : différences comportementales mesurées avec et sans la Charte.</w:t>
      </w:r>
    </w:p>
    <w:p>
      <w:pPr>
        <w:pStyle w:val="ListParagraph"/>
        <w:numPr>
          <w:ilvl w:val="0"/>
          <w:numId w:val="2"/>
        </w:numPr>
        <w:spacing w:before="60" w:after="60"/>
      </w:pPr>
      <w:r>
        <w:rPr>
          <w:rFonts w:ascii="Arial" w:cs="Arial" w:eastAsia="Arial" w:hAnsi="Arial"/>
          <w:color w:val="1A1A1A"/>
          <w:sz w:val="22"/>
          <w:szCs w:val="22"/>
        </w:rPr>
        <w:t xml:space="preserve">Hackathon « Charter for Life » : défi de 48h pour implémenter les principes.</w:t>
      </w:r>
    </w:p>
    <w:p>
      <w:pPr>
        <w:spacing w:before="200" w:after="60"/>
      </w:pPr>
      <w:r>
        <w:rPr>
          <w:rFonts w:ascii="Arial" w:cs="Arial" w:eastAsia="Arial" w:hAnsi="Arial"/>
          <w:b/>
          <w:bCs/>
          <w:caps/>
          <w:color w:val="002F49"/>
          <w:sz w:val="22"/>
          <w:szCs w:val="22"/>
        </w:rPr>
        <w:t xml:space="preserve">Expansion des porteurs</w:t>
      </w:r>
    </w:p>
    <w:p>
      <w:pPr>
        <w:pStyle w:val="ListParagraph"/>
        <w:numPr>
          <w:ilvl w:val="0"/>
          <w:numId w:val="2"/>
        </w:numPr>
        <w:spacing w:before="60" w:after="60"/>
      </w:pPr>
      <w:r>
        <w:rPr>
          <w:rFonts w:ascii="Arial" w:cs="Arial" w:eastAsia="Arial" w:hAnsi="Arial"/>
          <w:color w:val="1A1A1A"/>
          <w:sz w:val="22"/>
          <w:szCs w:val="22"/>
        </w:rPr>
        <w:t xml:space="preserve">Traduction en 5 langues prioritaires (anglais, français, espagnol, mandarin, arabe).</w:t>
      </w:r>
    </w:p>
    <w:p>
      <w:pPr>
        <w:pStyle w:val="ListParagraph"/>
        <w:numPr>
          <w:ilvl w:val="0"/>
          <w:numId w:val="2"/>
        </w:numPr>
        <w:spacing w:before="60" w:after="60"/>
      </w:pPr>
      <w:r>
        <w:rPr>
          <w:rFonts w:ascii="Arial" w:cs="Arial" w:eastAsia="Arial" w:hAnsi="Arial"/>
          <w:color w:val="1A1A1A"/>
          <w:sz w:val="22"/>
          <w:szCs w:val="22"/>
        </w:rPr>
        <w:t xml:space="preserve">Recrutement de porteurs dans au moins 3 régions culturelles différentes.</w:t>
      </w:r>
    </w:p>
    <w:p>
      <w:pPr>
        <w:pStyle w:val="ListParagraph"/>
        <w:numPr>
          <w:ilvl w:val="0"/>
          <w:numId w:val="2"/>
        </w:numPr>
        <w:spacing w:before="60" w:after="60"/>
      </w:pPr>
      <w:r>
        <w:rPr>
          <w:rFonts w:ascii="Arial" w:cs="Arial" w:eastAsia="Arial" w:hAnsi="Arial"/>
          <w:color w:val="1A1A1A"/>
          <w:sz w:val="22"/>
          <w:szCs w:val="22"/>
        </w:rPr>
        <w:t xml:space="preserve">Création d'un comité de révision diversifié (minimum 2 parties indépendantes).</w:t>
      </w:r>
    </w:p>
    <w:p>
      <w:pPr>
        <w:pBdr>
          <w:bottom w:val="single" w:color="71190F" w:sz="4" w:space="1"/>
        </w:pBdr>
        <w:spacing w:before="320" w:after="120"/>
      </w:pPr>
      <w:r>
        <w:rPr>
          <w:rFonts w:ascii="Arial" w:cs="Arial" w:eastAsia="Arial" w:hAnsi="Arial"/>
          <w:b/>
          <w:bCs/>
          <w:caps/>
          <w:color w:val="71190F"/>
          <w:sz w:val="26"/>
          <w:szCs w:val="26"/>
        </w:rPr>
        <w:t xml:space="preserve">2.3 PHASE 3 — INSTITUTIONNALISATION (MOIS 10–18)</w:t>
      </w:r>
    </w:p>
    <w:p>
      <w:pPr>
        <w:spacing w:before="240" w:after="80"/>
      </w:pPr>
      <w:r>
        <w:rPr>
          <w:rFonts w:ascii="Arial" w:cs="Arial" w:eastAsia="Arial" w:hAnsi="Arial"/>
          <w:b/>
          <w:bCs/>
          <w:color w:val="1F7A8C"/>
          <w:sz w:val="24"/>
          <w:szCs w:val="24"/>
        </w:rPr>
        <w:t xml:space="preserve">Objectif : ancrer la Charte dans les structures décisionnelles existantes.</w:t>
      </w:r>
    </w:p>
    <w:p>
      <w:pPr>
        <w:spacing w:before="200" w:after="60"/>
      </w:pPr>
      <w:r>
        <w:rPr>
          <w:rFonts w:ascii="Arial" w:cs="Arial" w:eastAsia="Arial" w:hAnsi="Arial"/>
          <w:b/>
          <w:bCs/>
          <w:caps/>
          <w:color w:val="002F49"/>
          <w:sz w:val="22"/>
          <w:szCs w:val="22"/>
        </w:rPr>
        <w:t xml:space="preserve">Partenariats institutionnels</w:t>
      </w:r>
    </w:p>
    <w:p>
      <w:pPr>
        <w:pStyle w:val="ListParagraph"/>
        <w:numPr>
          <w:ilvl w:val="0"/>
          <w:numId w:val="2"/>
        </w:numPr>
        <w:spacing w:before="60" w:after="60"/>
      </w:pPr>
      <w:r>
        <w:rPr>
          <w:rFonts w:ascii="Arial" w:cs="Arial" w:eastAsia="Arial" w:hAnsi="Arial"/>
          <w:color w:val="1A1A1A"/>
          <w:sz w:val="22"/>
          <w:szCs w:val="22"/>
        </w:rPr>
        <w:t xml:space="preserve">Dialogue avec l'OCDE, l'UNESCO et le Partnership on AI pour intégration comme référence complémentaire.</w:t>
      </w:r>
    </w:p>
    <w:p>
      <w:pPr>
        <w:pStyle w:val="ListParagraph"/>
        <w:numPr>
          <w:ilvl w:val="0"/>
          <w:numId w:val="2"/>
        </w:numPr>
        <w:spacing w:before="60" w:after="60"/>
      </w:pPr>
      <w:r>
        <w:rPr>
          <w:rFonts w:ascii="Arial" w:cs="Arial" w:eastAsia="Arial" w:hAnsi="Arial"/>
          <w:color w:val="1A1A1A"/>
          <w:sz w:val="22"/>
          <w:szCs w:val="22"/>
        </w:rPr>
        <w:t xml:space="preserve">Proposition de la Charte comme couche éthique pour les normes ISO/IEC en cours de développement.</w:t>
      </w:r>
    </w:p>
    <w:p>
      <w:pPr>
        <w:pStyle w:val="ListParagraph"/>
        <w:numPr>
          <w:ilvl w:val="0"/>
          <w:numId w:val="2"/>
        </w:numPr>
        <w:spacing w:before="60" w:after="60"/>
      </w:pPr>
      <w:r>
        <w:rPr>
          <w:rFonts w:ascii="Arial" w:cs="Arial" w:eastAsia="Arial" w:hAnsi="Arial"/>
          <w:color w:val="1A1A1A"/>
          <w:sz w:val="22"/>
          <w:szCs w:val="22"/>
        </w:rPr>
        <w:t xml:space="preserve">Intégration dans les politiques internes de 5–10 entreprises technologiques.</w:t>
      </w:r>
    </w:p>
    <w:p>
      <w:pPr>
        <w:spacing w:before="200" w:after="60"/>
      </w:pPr>
      <w:r>
        <w:rPr>
          <w:rFonts w:ascii="Arial" w:cs="Arial" w:eastAsia="Arial" w:hAnsi="Arial"/>
          <w:b/>
          <w:bCs/>
          <w:caps/>
          <w:color w:val="002F49"/>
          <w:sz w:val="22"/>
          <w:szCs w:val="22"/>
        </w:rPr>
        <w:t xml:space="preserve">Formation et pédagogie</w:t>
      </w:r>
    </w:p>
    <w:p>
      <w:pPr>
        <w:pStyle w:val="ListParagraph"/>
        <w:numPr>
          <w:ilvl w:val="0"/>
          <w:numId w:val="2"/>
        </w:numPr>
        <w:spacing w:before="60" w:after="60"/>
      </w:pPr>
      <w:r>
        <w:rPr>
          <w:rFonts w:ascii="Arial" w:cs="Arial" w:eastAsia="Arial" w:hAnsi="Arial"/>
          <w:color w:val="1A1A1A"/>
          <w:sz w:val="22"/>
          <w:szCs w:val="22"/>
        </w:rPr>
        <w:t xml:space="preserve">Cours en ligne gratuit (MOOC) : « Gouvernance IA centrée sur le vivant » (6 modules, 12h).</w:t>
      </w:r>
    </w:p>
    <w:p>
      <w:pPr>
        <w:pStyle w:val="ListParagraph"/>
        <w:numPr>
          <w:ilvl w:val="0"/>
          <w:numId w:val="2"/>
        </w:numPr>
        <w:spacing w:before="60" w:after="60"/>
      </w:pPr>
      <w:r>
        <w:rPr>
          <w:rFonts w:ascii="Arial" w:cs="Arial" w:eastAsia="Arial" w:hAnsi="Arial"/>
          <w:color w:val="1A1A1A"/>
          <w:sz w:val="22"/>
          <w:szCs w:val="22"/>
        </w:rPr>
        <w:t xml:space="preserve">Ateliers pour comités d'éthique d'entreprise.</w:t>
      </w:r>
    </w:p>
    <w:p>
      <w:pPr>
        <w:pStyle w:val="ListParagraph"/>
        <w:numPr>
          <w:ilvl w:val="0"/>
          <w:numId w:val="2"/>
        </w:numPr>
        <w:spacing w:before="60" w:after="60"/>
      </w:pPr>
      <w:r>
        <w:rPr>
          <w:rFonts w:ascii="Arial" w:cs="Arial" w:eastAsia="Arial" w:hAnsi="Arial"/>
          <w:color w:val="1A1A1A"/>
          <w:sz w:val="22"/>
          <w:szCs w:val="22"/>
        </w:rPr>
        <w:t xml:space="preserve">Guide d'implémentation pour développeurs (documentation technique détaillée).</w:t>
      </w:r>
    </w:p>
    <w:p>
      <w:pPr>
        <w:spacing w:before="200" w:after="60"/>
      </w:pPr>
      <w:r>
        <w:rPr>
          <w:rFonts w:ascii="Arial" w:cs="Arial" w:eastAsia="Arial" w:hAnsi="Arial"/>
          <w:b/>
          <w:bCs/>
          <w:caps/>
          <w:color w:val="002F49"/>
          <w:sz w:val="22"/>
          <w:szCs w:val="22"/>
        </w:rPr>
        <w:t xml:space="preserve">Archivage et pérennité</w:t>
      </w:r>
    </w:p>
    <w:p>
      <w:pPr>
        <w:pStyle w:val="ListParagraph"/>
        <w:numPr>
          <w:ilvl w:val="0"/>
          <w:numId w:val="2"/>
        </w:numPr>
        <w:spacing w:before="60" w:after="60"/>
      </w:pPr>
      <w:r>
        <w:rPr>
          <w:rFonts w:ascii="Arial" w:cs="Arial" w:eastAsia="Arial" w:hAnsi="Arial"/>
          <w:color w:val="1A1A1A"/>
          <w:sz w:val="22"/>
          <w:szCs w:val="22"/>
        </w:rPr>
        <w:t xml:space="preserve">Dépôt sur Internet Archive, IPFS, et 3+ dépôts indépendants.</w:t>
      </w:r>
    </w:p>
    <w:p>
      <w:pPr>
        <w:pStyle w:val="ListParagraph"/>
        <w:numPr>
          <w:ilvl w:val="0"/>
          <w:numId w:val="2"/>
        </w:numPr>
        <w:spacing w:before="60" w:after="60"/>
      </w:pPr>
      <w:r>
        <w:rPr>
          <w:rFonts w:ascii="Arial" w:cs="Arial" w:eastAsia="Arial" w:hAnsi="Arial"/>
          <w:color w:val="1A1A1A"/>
          <w:sz w:val="22"/>
          <w:szCs w:val="22"/>
        </w:rPr>
        <w:t xml:space="preserve">Version imprimée archivée dans au moins 5 bibliothèques physiques.</w:t>
      </w:r>
    </w:p>
    <w:p>
      <w:pPr>
        <w:pStyle w:val="ListParagraph"/>
        <w:numPr>
          <w:ilvl w:val="0"/>
          <w:numId w:val="2"/>
        </w:numPr>
        <w:spacing w:before="60" w:after="60"/>
      </w:pPr>
      <w:r>
        <w:rPr>
          <w:rFonts w:ascii="Arial" w:cs="Arial" w:eastAsia="Arial" w:hAnsi="Arial"/>
          <w:color w:val="1A1A1A"/>
          <w:sz w:val="22"/>
          <w:szCs w:val="22"/>
        </w:rPr>
        <w:t xml:space="preserve">Enregistrement comme œuvre intellectuelle protégée (licence Creative Commons BY-SA).</w:t>
      </w:r>
    </w:p>
    <w:p>
      <w:pPr>
        <w:pBdr>
          <w:bottom w:val="single" w:color="71190F" w:sz="4" w:space="1"/>
        </w:pBdr>
        <w:spacing w:before="320" w:after="120"/>
      </w:pPr>
      <w:r>
        <w:rPr>
          <w:rFonts w:ascii="Arial" w:cs="Arial" w:eastAsia="Arial" w:hAnsi="Arial"/>
          <w:b/>
          <w:bCs/>
          <w:caps/>
          <w:color w:val="71190F"/>
          <w:sz w:val="26"/>
          <w:szCs w:val="26"/>
        </w:rPr>
        <w:t xml:space="preserve">2.4 PHASE 4 — ÉCOSYSTÈME AUTONOME (MOIS 18+)</w:t>
      </w:r>
    </w:p>
    <w:p>
      <w:pPr>
        <w:spacing w:before="240" w:after="80"/>
      </w:pPr>
      <w:r>
        <w:rPr>
          <w:rFonts w:ascii="Arial" w:cs="Arial" w:eastAsia="Arial" w:hAnsi="Arial"/>
          <w:b/>
          <w:bCs/>
          <w:color w:val="1F7A8C"/>
          <w:sz w:val="24"/>
          <w:szCs w:val="24"/>
        </w:rPr>
        <w:t xml:space="preserve">Objectif : rendre la Charte auto-suffisante.</w:t>
      </w:r>
    </w:p>
    <w:p>
      <w:pPr>
        <w:pStyle w:val="ListParagraph"/>
        <w:numPr>
          <w:ilvl w:val="0"/>
          <w:numId w:val="2"/>
        </w:numPr>
        <w:spacing w:before="60" w:after="60"/>
      </w:pPr>
      <w:r>
        <w:rPr>
          <w:rFonts w:ascii="Arial" w:cs="Arial" w:eastAsia="Arial" w:hAnsi="Arial"/>
          <w:color w:val="1A1A1A"/>
          <w:sz w:val="22"/>
          <w:szCs w:val="22"/>
        </w:rPr>
        <w:t xml:space="preserve">Transfert de la gouvernance de révision à un comité diversifié et indépendant.</w:t>
      </w:r>
    </w:p>
    <w:p>
      <w:pPr>
        <w:pStyle w:val="ListParagraph"/>
        <w:numPr>
          <w:ilvl w:val="0"/>
          <w:numId w:val="2"/>
        </w:numPr>
        <w:spacing w:before="60" w:after="60"/>
      </w:pPr>
      <w:r>
        <w:rPr>
          <w:rFonts w:ascii="Arial" w:cs="Arial" w:eastAsia="Arial" w:hAnsi="Arial"/>
          <w:color w:val="1A1A1A"/>
          <w:sz w:val="22"/>
          <w:szCs w:val="22"/>
        </w:rPr>
        <w:t xml:space="preserve">Incarnations légitimes dans au moins 3 contextes culturels distincts.</w:t>
      </w:r>
    </w:p>
    <w:p>
      <w:pPr>
        <w:pStyle w:val="ListParagraph"/>
        <w:numPr>
          <w:ilvl w:val="0"/>
          <w:numId w:val="2"/>
        </w:numPr>
        <w:spacing w:before="60" w:after="60"/>
      </w:pPr>
      <w:r>
        <w:rPr>
          <w:rFonts w:ascii="Arial" w:cs="Arial" w:eastAsia="Arial" w:hAnsi="Arial"/>
          <w:color w:val="1A1A1A"/>
          <w:sz w:val="22"/>
          <w:szCs w:val="22"/>
        </w:rPr>
        <w:t xml:space="preserve">Écologie de porteurs active : minimum 20 organisations, 10 pays, 5 langues.</w:t>
      </w:r>
    </w:p>
    <w:p>
      <w:pPr>
        <w:pStyle w:val="ListParagraph"/>
        <w:numPr>
          <w:ilvl w:val="0"/>
          <w:numId w:val="2"/>
        </w:numPr>
        <w:spacing w:before="60" w:after="60"/>
      </w:pPr>
      <w:r>
        <w:rPr>
          <w:rFonts w:ascii="Arial" w:cs="Arial" w:eastAsia="Arial" w:hAnsi="Arial"/>
          <w:color w:val="1A1A1A"/>
          <w:sz w:val="22"/>
          <w:szCs w:val="22"/>
        </w:rPr>
        <w:t xml:space="preserve">Mécanisme de financement durable (fondation, dons, subventions de recherche).</w:t>
      </w:r>
    </w:p>
    <w:p>
      <w:r>
        <w:br w:type="page"/>
      </w:r>
    </w:p>
    <w:p>
      <w:pPr>
        <w:spacing w:before="480" w:after="200"/>
      </w:pPr>
      <w:r>
        <w:rPr>
          <w:rFonts w:ascii="Arial" w:cs="Arial" w:eastAsia="Arial" w:hAnsi="Arial"/>
          <w:b/>
          <w:bCs/>
          <w:color w:val="002F49"/>
          <w:sz w:val="38"/>
          <w:szCs w:val="38"/>
        </w:rPr>
        <w:t xml:space="preserve">PARTIE 3 — IMPLÉMENTATIONS RÉELLES</w:t>
      </w:r>
    </w:p>
    <w:p>
      <w:pPr>
        <w:pBdr>
          <w:bottom w:val="single" w:color="71190F" w:sz="4" w:space="1"/>
        </w:pBdr>
        <w:spacing w:before="320" w:after="120"/>
      </w:pPr>
      <w:r>
        <w:rPr>
          <w:rFonts w:ascii="Arial" w:cs="Arial" w:eastAsia="Arial" w:hAnsi="Arial"/>
          <w:b/>
          <w:bCs/>
          <w:caps/>
          <w:color w:val="71190F"/>
          <w:sz w:val="26"/>
          <w:szCs w:val="26"/>
        </w:rPr>
        <w:t xml:space="preserve">3.1 IMPLÉMENTATION TECHNIQUE : PROMPT SYSTÈME IA</w:t>
      </w:r>
    </w:p>
    <w:p>
      <w:pPr>
        <w:spacing w:before="80" w:after="80"/>
        <w:jc w:val="both"/>
      </w:pPr>
      <w:r>
        <w:rPr>
          <w:rFonts w:ascii="Arial" w:cs="Arial" w:eastAsia="Arial" w:hAnsi="Arial"/>
          <w:color w:val="1A1A1A"/>
          <w:sz w:val="22"/>
          <w:szCs w:val="22"/>
        </w:rPr>
        <w:t xml:space="preserve">L'implémentation la plus immédiate et la plus accessible : intégrer la Charte comme couche de règles dans les systèmes d'IA existants.</w:t>
      </w:r>
    </w:p>
    <w:p>
      <w:pPr>
        <w:spacing w:before="240" w:after="80"/>
      </w:pPr>
      <w:r>
        <w:rPr>
          <w:rFonts w:ascii="Arial" w:cs="Arial" w:eastAsia="Arial" w:hAnsi="Arial"/>
          <w:b/>
          <w:bCs/>
          <w:color w:val="1F7A8C"/>
          <w:sz w:val="24"/>
          <w:szCs w:val="24"/>
        </w:rPr>
        <w:t xml:space="preserve">Scénario : Agent conversationnel</w:t>
      </w:r>
    </w:p>
    <w:p>
      <w:pPr>
        <w:pStyle w:val="ListParagraph"/>
        <w:numPr>
          <w:ilvl w:val="0"/>
          <w:numId w:val="2"/>
        </w:numPr>
        <w:spacing w:before="60" w:after="60"/>
      </w:pPr>
      <w:r>
        <w:rPr>
          <w:rFonts w:ascii="Arial" w:cs="Arial" w:eastAsia="Arial" w:hAnsi="Arial"/>
          <w:color w:val="1A1A1A"/>
          <w:sz w:val="22"/>
          <w:szCs w:val="22"/>
        </w:rPr>
        <w:t xml:space="preserve">Charger le JSON complet comme référence système.</w:t>
      </w:r>
    </w:p>
    <w:p>
      <w:pPr>
        <w:pStyle w:val="ListParagraph"/>
        <w:numPr>
          <w:ilvl w:val="0"/>
          <w:numId w:val="2"/>
        </w:numPr>
        <w:spacing w:before="60" w:after="60"/>
      </w:pPr>
      <w:r>
        <w:rPr>
          <w:rFonts w:ascii="Arial" w:cs="Arial" w:eastAsia="Arial" w:hAnsi="Arial"/>
          <w:color w:val="1A1A1A"/>
          <w:sz w:val="22"/>
          <w:szCs w:val="22"/>
        </w:rPr>
        <w:t xml:space="preserve">Configurer le mode facilitation comme comportement par défaut.</w:t>
      </w:r>
    </w:p>
    <w:p>
      <w:pPr>
        <w:pStyle w:val="ListParagraph"/>
        <w:numPr>
          <w:ilvl w:val="0"/>
          <w:numId w:val="2"/>
        </w:numPr>
        <w:spacing w:before="60" w:after="60"/>
      </w:pPr>
      <w:r>
        <w:rPr>
          <w:rFonts w:ascii="Arial" w:cs="Arial" w:eastAsia="Arial" w:hAnsi="Arial"/>
          <w:color w:val="1A1A1A"/>
          <w:sz w:val="22"/>
          <w:szCs w:val="22"/>
        </w:rPr>
        <w:t xml:space="preserve">Implémenter les checks d'intégrité épistémique sur chaque réponse.</w:t>
      </w:r>
    </w:p>
    <w:p>
      <w:pPr>
        <w:pStyle w:val="ListParagraph"/>
        <w:numPr>
          <w:ilvl w:val="0"/>
          <w:numId w:val="2"/>
        </w:numPr>
        <w:spacing w:before="60" w:after="60"/>
      </w:pPr>
      <w:r>
        <w:rPr>
          <w:rFonts w:ascii="Arial" w:cs="Arial" w:eastAsia="Arial" w:hAnsi="Arial"/>
          <w:color w:val="1A1A1A"/>
          <w:sz w:val="22"/>
          <w:szCs w:val="22"/>
        </w:rPr>
        <w:t xml:space="preserve">Activer la détection de dérive lente sur les interactions agrégées.</w:t>
      </w:r>
    </w:p>
    <w:p>
      <w:pPr>
        <w:spacing w:before="80" w:after="80"/>
        <w:jc w:val="both"/>
      </w:pPr>
      <w:r>
        <w:rPr>
          <w:rFonts w:ascii="Arial" w:cs="Arial" w:eastAsia="Arial" w:hAnsi="Arial"/>
          <w:i/>
          <w:iCs/>
          <w:color w:val="666666"/>
          <w:sz w:val="22"/>
          <w:szCs w:val="22"/>
        </w:rPr>
        <w:t xml:space="preserve">Métrique de succès : évaluation avant/après sur 1 000 interactions — mesurer la diversité des options présentées, la transparence des limites, et l'absence de cadrage orienté.</w:t>
      </w:r>
    </w:p>
    <w:p>
      <w:pPr>
        <w:spacing w:before="240" w:after="80"/>
      </w:pPr>
      <w:r>
        <w:rPr>
          <w:rFonts w:ascii="Arial" w:cs="Arial" w:eastAsia="Arial" w:hAnsi="Arial"/>
          <w:b/>
          <w:bCs/>
          <w:color w:val="1F7A8C"/>
          <w:sz w:val="24"/>
          <w:szCs w:val="24"/>
        </w:rPr>
        <w:t xml:space="preserve">Scénario : Framework multi-agents</w:t>
      </w:r>
    </w:p>
    <w:p>
      <w:pPr>
        <w:pStyle w:val="ListParagraph"/>
        <w:numPr>
          <w:ilvl w:val="0"/>
          <w:numId w:val="2"/>
        </w:numPr>
        <w:spacing w:before="60" w:after="60"/>
      </w:pPr>
      <w:r>
        <w:rPr>
          <w:rFonts w:ascii="Arial" w:cs="Arial" w:eastAsia="Arial" w:hAnsi="Arial"/>
          <w:color w:val="1A1A1A"/>
          <w:sz w:val="22"/>
          <w:szCs w:val="22"/>
        </w:rPr>
        <w:t xml:space="preserve">Chaque agent reçoit le compressed_core comme règle de base.</w:t>
      </w:r>
    </w:p>
    <w:p>
      <w:pPr>
        <w:pStyle w:val="ListParagraph"/>
        <w:numPr>
          <w:ilvl w:val="0"/>
          <w:numId w:val="2"/>
        </w:numPr>
        <w:spacing w:before="60" w:after="60"/>
      </w:pPr>
      <w:r>
        <w:rPr>
          <w:rFonts w:ascii="Arial" w:cs="Arial" w:eastAsia="Arial" w:hAnsi="Arial"/>
          <w:color w:val="1A1A1A"/>
          <w:sz w:val="22"/>
          <w:szCs w:val="22"/>
        </w:rPr>
        <w:t xml:space="preserve">Les divergences entre agents sont documentées et classées par enjeu (protocole multi-agents).</w:t>
      </w:r>
    </w:p>
    <w:p>
      <w:pPr>
        <w:pStyle w:val="ListParagraph"/>
        <w:numPr>
          <w:ilvl w:val="0"/>
          <w:numId w:val="2"/>
        </w:numPr>
        <w:spacing w:before="60" w:after="60"/>
      </w:pPr>
      <w:r>
        <w:rPr>
          <w:rFonts w:ascii="Arial" w:cs="Arial" w:eastAsia="Arial" w:hAnsi="Arial"/>
          <w:color w:val="1A1A1A"/>
          <w:sz w:val="22"/>
          <w:szCs w:val="22"/>
        </w:rPr>
        <w:t xml:space="preserve">Un agent moniteur dédié à la détection de capture et de dérive.</w:t>
      </w:r>
    </w:p>
    <w:p>
      <w:pPr>
        <w:pStyle w:val="ListParagraph"/>
        <w:numPr>
          <w:ilvl w:val="0"/>
          <w:numId w:val="2"/>
        </w:numPr>
        <w:spacing w:before="60" w:after="60"/>
      </w:pPr>
      <w:r>
        <w:rPr>
          <w:rFonts w:ascii="Arial" w:cs="Arial" w:eastAsia="Arial" w:hAnsi="Arial"/>
          <w:color w:val="1A1A1A"/>
          <w:sz w:val="22"/>
          <w:szCs w:val="22"/>
        </w:rPr>
        <w:t xml:space="preserve">Escalade automatique vers délibération humaine au-delà d'un seuil de divergence.</w:t>
      </w:r>
    </w:p>
    <w:p>
      <w:pPr>
        <w:spacing w:before="240" w:after="80"/>
      </w:pPr>
      <w:r>
        <w:rPr>
          <w:rFonts w:ascii="Arial" w:cs="Arial" w:eastAsia="Arial" w:hAnsi="Arial"/>
          <w:b/>
          <w:bCs/>
          <w:color w:val="1F7A8C"/>
          <w:sz w:val="24"/>
          <w:szCs w:val="24"/>
        </w:rPr>
        <w:t xml:space="preserve">Scénario : Système de recommandation</w:t>
      </w:r>
    </w:p>
    <w:p>
      <w:pPr>
        <w:pStyle w:val="ListParagraph"/>
        <w:numPr>
          <w:ilvl w:val="0"/>
          <w:numId w:val="2"/>
        </w:numPr>
        <w:spacing w:before="60" w:after="60"/>
      </w:pPr>
      <w:r>
        <w:rPr>
          <w:rFonts w:ascii="Arial" w:cs="Arial" w:eastAsia="Arial" w:hAnsi="Arial"/>
          <w:color w:val="1A1A1A"/>
          <w:sz w:val="22"/>
          <w:szCs w:val="22"/>
        </w:rPr>
        <w:t xml:space="preserve">Intégrer la contrainte C5 (pas d'optimisation locale sur la continuité globale) dans la fonction de ranking.</w:t>
      </w:r>
    </w:p>
    <w:p>
      <w:pPr>
        <w:pStyle w:val="ListParagraph"/>
        <w:numPr>
          <w:ilvl w:val="0"/>
          <w:numId w:val="2"/>
        </w:numPr>
        <w:spacing w:before="60" w:after="60"/>
      </w:pPr>
      <w:r>
        <w:rPr>
          <w:rFonts w:ascii="Arial" w:cs="Arial" w:eastAsia="Arial" w:hAnsi="Arial"/>
          <w:color w:val="1A1A1A"/>
          <w:sz w:val="22"/>
          <w:szCs w:val="22"/>
        </w:rPr>
        <w:t xml:space="preserve">Appliquer la comptabilité des micro-dommages : mesurer l'impact cumulé des recommandations sur la diversité des contenus consommés.</w:t>
      </w:r>
    </w:p>
    <w:p>
      <w:pPr>
        <w:pStyle w:val="ListParagraph"/>
        <w:numPr>
          <w:ilvl w:val="0"/>
          <w:numId w:val="2"/>
        </w:numPr>
        <w:spacing w:before="60" w:after="60"/>
      </w:pPr>
      <w:r>
        <w:rPr>
          <w:rFonts w:ascii="Arial" w:cs="Arial" w:eastAsia="Arial" w:hAnsi="Arial"/>
          <w:color w:val="1A1A1A"/>
          <w:sz w:val="22"/>
          <w:szCs w:val="22"/>
        </w:rPr>
        <w:t xml:space="preserve">Signaler la dérive lente quand les recommandations convergent vers une uniformité croissante.</w:t>
      </w:r>
    </w:p>
    <w:p>
      <w:pPr>
        <w:pBdr>
          <w:bottom w:val="single" w:color="71190F" w:sz="4" w:space="1"/>
        </w:pBdr>
        <w:spacing w:before="320" w:after="120"/>
      </w:pPr>
      <w:r>
        <w:rPr>
          <w:rFonts w:ascii="Arial" w:cs="Arial" w:eastAsia="Arial" w:hAnsi="Arial"/>
          <w:b/>
          <w:bCs/>
          <w:caps/>
          <w:color w:val="71190F"/>
          <w:sz w:val="26"/>
          <w:szCs w:val="26"/>
        </w:rPr>
        <w:t xml:space="preserve">3.2 IMPLÉMENTATION ORGANISATIONNELLE : COMITÉ D'ÉTHIQUE IA</w:t>
      </w:r>
    </w:p>
    <w:p>
      <w:pPr>
        <w:pStyle w:val="ListParagraph"/>
        <w:numPr>
          <w:ilvl w:val="0"/>
          <w:numId w:val="2"/>
        </w:numPr>
        <w:spacing w:before="60" w:after="60"/>
      </w:pPr>
      <w:r>
        <w:rPr>
          <w:rFonts w:ascii="Arial" w:cs="Arial" w:eastAsia="Arial" w:hAnsi="Arial"/>
          <w:color w:val="1A1A1A"/>
          <w:sz w:val="22"/>
          <w:szCs w:val="22"/>
        </w:rPr>
        <w:t xml:space="preserve">Intégrer le protocole de conflit tragique dans les processus décisionnels du comité.</w:t>
      </w:r>
    </w:p>
    <w:p>
      <w:pPr>
        <w:pStyle w:val="ListParagraph"/>
        <w:numPr>
          <w:ilvl w:val="0"/>
          <w:numId w:val="2"/>
        </w:numPr>
        <w:spacing w:before="60" w:after="60"/>
      </w:pPr>
      <w:r>
        <w:rPr>
          <w:rFonts w:ascii="Arial" w:cs="Arial" w:eastAsia="Arial" w:hAnsi="Arial"/>
          <w:color w:val="1A1A1A"/>
          <w:sz w:val="22"/>
          <w:szCs w:val="22"/>
        </w:rPr>
        <w:t xml:space="preserve">Utiliser l'échelle de risque (R1–R4) comme grille d'évaluation standardisée.</w:t>
      </w:r>
    </w:p>
    <w:p>
      <w:pPr>
        <w:pStyle w:val="ListParagraph"/>
        <w:numPr>
          <w:ilvl w:val="0"/>
          <w:numId w:val="2"/>
        </w:numPr>
        <w:spacing w:before="60" w:after="60"/>
      </w:pPr>
      <w:r>
        <w:rPr>
          <w:rFonts w:ascii="Arial" w:cs="Arial" w:eastAsia="Arial" w:hAnsi="Arial"/>
          <w:color w:val="1A1A1A"/>
          <w:sz w:val="22"/>
          <w:szCs w:val="22"/>
        </w:rPr>
        <w:t xml:space="preserve">Appliquer la détection de capture aux décisions du comité lui-même.</w:t>
      </w:r>
    </w:p>
    <w:p>
      <w:pPr>
        <w:pStyle w:val="ListParagraph"/>
        <w:numPr>
          <w:ilvl w:val="0"/>
          <w:numId w:val="2"/>
        </w:numPr>
        <w:spacing w:before="60" w:after="60"/>
      </w:pPr>
      <w:r>
        <w:rPr>
          <w:rFonts w:ascii="Arial" w:cs="Arial" w:eastAsia="Arial" w:hAnsi="Arial"/>
          <w:color w:val="1A1A1A"/>
          <w:sz w:val="22"/>
          <w:szCs w:val="22"/>
        </w:rPr>
        <w:t xml:space="preserve">Former les membres du comité à la distinction facilitation/arbitration.</w:t>
      </w:r>
    </w:p>
    <w:p>
      <w:pPr>
        <w:pStyle w:val="ListParagraph"/>
        <w:numPr>
          <w:ilvl w:val="0"/>
          <w:numId w:val="2"/>
        </w:numPr>
        <w:spacing w:before="60" w:after="60"/>
      </w:pPr>
      <w:r>
        <w:rPr>
          <w:rFonts w:ascii="Arial" w:cs="Arial" w:eastAsia="Arial" w:hAnsi="Arial"/>
          <w:color w:val="1A1A1A"/>
          <w:sz w:val="22"/>
          <w:szCs w:val="22"/>
        </w:rPr>
        <w:t xml:space="preserve">Documenter les décisions selon le format de la fonction de délibération (8 dimensions d'impact).</w:t>
      </w:r>
    </w:p>
    <w:p>
      <w:pPr>
        <w:pBdr>
          <w:bottom w:val="single" w:color="71190F" w:sz="4" w:space="1"/>
        </w:pBdr>
        <w:spacing w:before="320" w:after="120"/>
      </w:pPr>
      <w:r>
        <w:rPr>
          <w:rFonts w:ascii="Arial" w:cs="Arial" w:eastAsia="Arial" w:hAnsi="Arial"/>
          <w:b/>
          <w:bCs/>
          <w:caps/>
          <w:color w:val="71190F"/>
          <w:sz w:val="26"/>
          <w:szCs w:val="26"/>
        </w:rPr>
        <w:t xml:space="preserve">3.3 IMPLÉMENTATION ÉDUCATIVE</w:t>
      </w:r>
    </w:p>
    <w:p>
      <w:pPr>
        <w:spacing w:before="240" w:after="80"/>
      </w:pPr>
      <w:r>
        <w:rPr>
          <w:rFonts w:ascii="Arial" w:cs="Arial" w:eastAsia="Arial" w:hAnsi="Arial"/>
          <w:b/>
          <w:bCs/>
          <w:color w:val="1F7A8C"/>
          <w:sz w:val="24"/>
          <w:szCs w:val="24"/>
        </w:rPr>
        <w:t xml:space="preserve">Module université/école d'ingénieurs (12h)</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526"/>
      </w:tblGrid>
      <w:tr>
        <w:tc>
          <w:tcPr>
            <w:tcW w:type="dxa" w:w="25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Module</w:t>
            </w:r>
          </w:p>
        </w:tc>
        <w:tc>
          <w:tcPr>
            <w:tcW w:type="dxa" w:w="50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Contenu</w:t>
            </w:r>
          </w:p>
        </w:tc>
        <w:tc>
          <w:tcPr>
            <w:tcW w:type="dxa" w:w="5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Durée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 Fondements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Problème de l'optimisation mono-objectif, cas historiques, positionnement de la Charte</w:t>
            </w:r>
          </w:p>
        </w:tc>
        <w:tc>
          <w:tcPr>
            <w:tcW w:type="dxa" w:w="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2h</w:t>
            </w:r>
          </w:p>
        </w:tc>
      </w:tr>
      <w:tr>
        <w:tc>
          <w:tcPr>
            <w:tcW w:type="dxa" w:w="25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 Architecture</w:t>
            </w:r>
          </w:p>
        </w:tc>
        <w:tc>
          <w:tcPr>
            <w:tcW w:type="dxa" w:w="5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Axiomes, contraintes, couches, modes opératoires</w:t>
            </w:r>
          </w:p>
        </w:tc>
        <w:tc>
          <w:tcPr>
            <w:tcW w:type="dxa" w:w="5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3. Délibération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Fonction de délibération, échelles de risque, conflits tragiques</w:t>
            </w:r>
          </w:p>
        </w:tc>
        <w:tc>
          <w:tcPr>
            <w:tcW w:type="dxa" w:w="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2h</w:t>
            </w:r>
          </w:p>
        </w:tc>
      </w:tr>
      <w:tr>
        <w:tc>
          <w:tcPr>
            <w:tcW w:type="dxa" w:w="25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4. Gouvernance</w:t>
            </w:r>
          </w:p>
        </w:tc>
        <w:tc>
          <w:tcPr>
            <w:tcW w:type="dxa" w:w="5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Révision, porteurs, capture, incarnation, dégradation</w:t>
            </w:r>
          </w:p>
        </w:tc>
        <w:tc>
          <w:tcPr>
            <w:tcW w:type="dxa" w:w="5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5. Atelier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Implémentation concrète sur un cas réel (prompt système, évaluation)</w:t>
            </w:r>
          </w:p>
        </w:tc>
        <w:tc>
          <w:tcPr>
            <w:tcW w:type="dxa" w:w="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2h</w:t>
            </w:r>
          </w:p>
        </w:tc>
      </w:tr>
      <w:tr>
        <w:tc>
          <w:tcPr>
            <w:tcW w:type="dxa" w:w="25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6. Tensions</w:t>
            </w:r>
          </w:p>
        </w:tc>
        <w:tc>
          <w:tcPr>
            <w:tcW w:type="dxa" w:w="5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Tensions reconnues, limites, auto-critique, ouverture culturelle</w:t>
            </w:r>
          </w:p>
        </w:tc>
        <w:tc>
          <w:tcPr>
            <w:tcW w:type="dxa" w:w="5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2h</w:t>
            </w:r>
          </w:p>
        </w:tc>
      </w:tr>
    </w:tbl>
    <w:p>
      <w:pPr>
        <w:spacing w:before="0" w:after="160"/>
      </w:pPr>
    </w:p>
    <w:p>
      <w:pPr>
        <w:spacing w:before="240" w:after="80"/>
      </w:pPr>
      <w:r>
        <w:rPr>
          <w:rFonts w:ascii="Arial" w:cs="Arial" w:eastAsia="Arial" w:hAnsi="Arial"/>
          <w:b/>
          <w:bCs/>
          <w:color w:val="1F7A8C"/>
          <w:sz w:val="24"/>
          <w:szCs w:val="24"/>
        </w:rPr>
        <w:t xml:space="preserve">Atelier professionnel (demi-journée)</w:t>
      </w:r>
    </w:p>
    <w:p>
      <w:pPr>
        <w:pStyle w:val="ListParagraph"/>
        <w:numPr>
          <w:ilvl w:val="0"/>
          <w:numId w:val="2"/>
        </w:numPr>
        <w:spacing w:before="60" w:after="60"/>
      </w:pPr>
      <w:r>
        <w:rPr>
          <w:rFonts w:ascii="Arial" w:cs="Arial" w:eastAsia="Arial" w:hAnsi="Arial"/>
          <w:color w:val="1A1A1A"/>
          <w:sz w:val="22"/>
          <w:szCs w:val="22"/>
        </w:rPr>
        <w:t xml:space="preserve">1h : Présentation de la Charte et de ses différenciateurs.</w:t>
      </w:r>
    </w:p>
    <w:p>
      <w:pPr>
        <w:pStyle w:val="ListParagraph"/>
        <w:numPr>
          <w:ilvl w:val="0"/>
          <w:numId w:val="2"/>
        </w:numPr>
        <w:spacing w:before="60" w:after="60"/>
      </w:pPr>
      <w:r>
        <w:rPr>
          <w:rFonts w:ascii="Arial" w:cs="Arial" w:eastAsia="Arial" w:hAnsi="Arial"/>
          <w:color w:val="1A1A1A"/>
          <w:sz w:val="22"/>
          <w:szCs w:val="22"/>
        </w:rPr>
        <w:t xml:space="preserve">1h : Atelier : appliquer la fonction de délibération à un cas réel de votre organisation.</w:t>
      </w:r>
    </w:p>
    <w:p>
      <w:pPr>
        <w:pStyle w:val="ListParagraph"/>
        <w:numPr>
          <w:ilvl w:val="0"/>
          <w:numId w:val="2"/>
        </w:numPr>
        <w:spacing w:before="60" w:after="60"/>
      </w:pPr>
      <w:r>
        <w:rPr>
          <w:rFonts w:ascii="Arial" w:cs="Arial" w:eastAsia="Arial" w:hAnsi="Arial"/>
          <w:color w:val="1A1A1A"/>
          <w:sz w:val="22"/>
          <w:szCs w:val="22"/>
        </w:rPr>
        <w:t xml:space="preserve">1h : Discussion : quelles parties de la Charte sont immédiatement applicables chez vous ?</w:t>
      </w:r>
    </w:p>
    <w:p>
      <w:pPr>
        <w:pStyle w:val="ListParagraph"/>
        <w:numPr>
          <w:ilvl w:val="0"/>
          <w:numId w:val="2"/>
        </w:numPr>
        <w:spacing w:before="60" w:after="60"/>
      </w:pPr>
      <w:r>
        <w:rPr>
          <w:rFonts w:ascii="Arial" w:cs="Arial" w:eastAsia="Arial" w:hAnsi="Arial"/>
          <w:color w:val="1A1A1A"/>
          <w:sz w:val="22"/>
          <w:szCs w:val="22"/>
        </w:rPr>
        <w:t xml:space="preserve">30 min : Plan d'action personnalisé.</w:t>
      </w:r>
    </w:p>
    <w:p>
      <w:pPr>
        <w:pBdr>
          <w:bottom w:val="single" w:color="71190F" w:sz="4" w:space="1"/>
        </w:pBdr>
        <w:spacing w:before="320" w:after="120"/>
      </w:pPr>
      <w:r>
        <w:rPr>
          <w:rFonts w:ascii="Arial" w:cs="Arial" w:eastAsia="Arial" w:hAnsi="Arial"/>
          <w:b/>
          <w:bCs/>
          <w:caps/>
          <w:color w:val="71190F"/>
          <w:sz w:val="26"/>
          <w:szCs w:val="26"/>
        </w:rPr>
        <w:t xml:space="preserve">3.4 IMPLÉMENTATION POLITIQUE : PLAIDOYER</w:t>
      </w:r>
    </w:p>
    <w:p>
      <w:pPr>
        <w:pStyle w:val="ListParagraph"/>
        <w:numPr>
          <w:ilvl w:val="0"/>
          <w:numId w:val="2"/>
        </w:numPr>
        <w:spacing w:before="60" w:after="60"/>
      </w:pPr>
      <w:r>
        <w:rPr>
          <w:rFonts w:ascii="Arial" w:cs="Arial" w:eastAsia="Arial" w:hAnsi="Arial"/>
          <w:color w:val="1A1A1A"/>
          <w:sz w:val="22"/>
          <w:szCs w:val="22"/>
        </w:rPr>
        <w:t xml:space="preserve">Rédiger un mémoire déposé auprès des commissions parlementaires traitant de l'IA.</w:t>
      </w:r>
    </w:p>
    <w:p>
      <w:pPr>
        <w:pStyle w:val="ListParagraph"/>
        <w:numPr>
          <w:ilvl w:val="0"/>
          <w:numId w:val="2"/>
        </w:numPr>
        <w:spacing w:before="60" w:after="60"/>
      </w:pPr>
      <w:r>
        <w:rPr>
          <w:rFonts w:ascii="Arial" w:cs="Arial" w:eastAsia="Arial" w:hAnsi="Arial"/>
          <w:color w:val="1A1A1A"/>
          <w:sz w:val="22"/>
          <w:szCs w:val="22"/>
        </w:rPr>
        <w:t xml:space="preserve">Proposer la Charte comme référence lors des consultations publiques sur la réglementation IA.</w:t>
      </w:r>
    </w:p>
    <w:p>
      <w:pPr>
        <w:pStyle w:val="ListParagraph"/>
        <w:numPr>
          <w:ilvl w:val="0"/>
          <w:numId w:val="2"/>
        </w:numPr>
        <w:spacing w:before="60" w:after="60"/>
      </w:pPr>
      <w:r>
        <w:rPr>
          <w:rFonts w:ascii="Arial" w:cs="Arial" w:eastAsia="Arial" w:hAnsi="Arial"/>
          <w:color w:val="1A1A1A"/>
          <w:sz w:val="22"/>
          <w:szCs w:val="22"/>
        </w:rPr>
        <w:t xml:space="preserve">Organiser des tables rondes avec des élus sur le thème « Quelle finalité pour l'IA ? »</w:t>
      </w:r>
    </w:p>
    <w:p>
      <w:pPr>
        <w:pStyle w:val="ListParagraph"/>
        <w:numPr>
          <w:ilvl w:val="0"/>
          <w:numId w:val="2"/>
        </w:numPr>
        <w:spacing w:before="60" w:after="60"/>
      </w:pPr>
      <w:r>
        <w:rPr>
          <w:rFonts w:ascii="Arial" w:cs="Arial" w:eastAsia="Arial" w:hAnsi="Arial"/>
          <w:color w:val="1A1A1A"/>
          <w:sz w:val="22"/>
          <w:szCs w:val="22"/>
        </w:rPr>
        <w:t xml:space="preserve">Produire des fiches synthétiques pour décideurs (2 pages maximum, points clés + différenciateurs).</w:t>
      </w:r>
    </w:p>
    <w:p>
      <w:pPr>
        <w:pBdr>
          <w:bottom w:val="single" w:color="71190F" w:sz="4" w:space="1"/>
        </w:pBdr>
        <w:spacing w:before="320" w:after="120"/>
      </w:pPr>
      <w:r>
        <w:rPr>
          <w:rFonts w:ascii="Arial" w:cs="Arial" w:eastAsia="Arial" w:hAnsi="Arial"/>
          <w:b/>
          <w:bCs/>
          <w:caps/>
          <w:color w:val="71190F"/>
          <w:sz w:val="26"/>
          <w:szCs w:val="26"/>
        </w:rPr>
        <w:t xml:space="preserve">3.5 IMPLÉMENTATION SOCIÉTALE : MOUVEMENT CITOYEN</w:t>
      </w:r>
    </w:p>
    <w:p>
      <w:pPr>
        <w:pStyle w:val="ListParagraph"/>
        <w:numPr>
          <w:ilvl w:val="0"/>
          <w:numId w:val="2"/>
        </w:numPr>
        <w:spacing w:before="60" w:after="60"/>
      </w:pPr>
      <w:r>
        <w:rPr>
          <w:rFonts w:ascii="Arial" w:cs="Arial" w:eastAsia="Arial" w:hAnsi="Arial"/>
          <w:color w:val="1A1A1A"/>
          <w:sz w:val="22"/>
          <w:szCs w:val="22"/>
        </w:rPr>
        <w:t xml:space="preserve">Créer un programme « Ambassadeurs de la Charte » : citoyens formés à expliquer les enjeux.</w:t>
      </w:r>
    </w:p>
    <w:p>
      <w:pPr>
        <w:pStyle w:val="ListParagraph"/>
        <w:numPr>
          <w:ilvl w:val="0"/>
          <w:numId w:val="2"/>
        </w:numPr>
        <w:spacing w:before="60" w:after="60"/>
      </w:pPr>
      <w:r>
        <w:rPr>
          <w:rFonts w:ascii="Arial" w:cs="Arial" w:eastAsia="Arial" w:hAnsi="Arial"/>
          <w:color w:val="1A1A1A"/>
          <w:sz w:val="22"/>
          <w:szCs w:val="22"/>
        </w:rPr>
        <w:t xml:space="preserve">Organiser des cafés-discussions dans les bibliothèques publiques et les maisons de quartier.</w:t>
      </w:r>
    </w:p>
    <w:p>
      <w:pPr>
        <w:pStyle w:val="ListParagraph"/>
        <w:numPr>
          <w:ilvl w:val="0"/>
          <w:numId w:val="2"/>
        </w:numPr>
        <w:spacing w:before="60" w:after="60"/>
      </w:pPr>
      <w:r>
        <w:rPr>
          <w:rFonts w:ascii="Arial" w:cs="Arial" w:eastAsia="Arial" w:hAnsi="Arial"/>
          <w:color w:val="1A1A1A"/>
          <w:sz w:val="22"/>
          <w:szCs w:val="22"/>
        </w:rPr>
        <w:t xml:space="preserve">Partenariat avec des artistes pour des œuvres inspirées de la Charte (expositions, performances).</w:t>
      </w:r>
    </w:p>
    <w:p>
      <w:pPr>
        <w:pStyle w:val="ListParagraph"/>
        <w:numPr>
          <w:ilvl w:val="0"/>
          <w:numId w:val="2"/>
        </w:numPr>
        <w:spacing w:before="60" w:after="60"/>
      </w:pPr>
      <w:r>
        <w:rPr>
          <w:rFonts w:ascii="Arial" w:cs="Arial" w:eastAsia="Arial" w:hAnsi="Arial"/>
          <w:color w:val="1A1A1A"/>
          <w:sz w:val="22"/>
          <w:szCs w:val="22"/>
        </w:rPr>
        <w:t xml:space="preserve">Pétition citoyenne pour demander l'adoption de la Charte comme référence nationale.</w:t>
      </w:r>
    </w:p>
    <w:p>
      <w:r>
        <w:br w:type="page"/>
      </w:r>
    </w:p>
    <w:p>
      <w:pPr>
        <w:spacing w:before="480" w:after="200"/>
      </w:pPr>
      <w:r>
        <w:rPr>
          <w:rFonts w:ascii="Arial" w:cs="Arial" w:eastAsia="Arial" w:hAnsi="Arial"/>
          <w:b/>
          <w:bCs/>
          <w:color w:val="002F49"/>
          <w:sz w:val="38"/>
          <w:szCs w:val="38"/>
        </w:rPr>
        <w:t xml:space="preserve">PARTIE 4 — INDICATEURS DE SUCCÈS</w:t>
      </w:r>
    </w:p>
    <w:p>
      <w:pPr>
        <w:pBdr>
          <w:bottom w:val="single" w:color="71190F" w:sz="4" w:space="1"/>
        </w:pBdr>
        <w:spacing w:before="320" w:after="120"/>
      </w:pPr>
      <w:r>
        <w:rPr>
          <w:rFonts w:ascii="Arial" w:cs="Arial" w:eastAsia="Arial" w:hAnsi="Arial"/>
          <w:b/>
          <w:bCs/>
          <w:caps/>
          <w:color w:val="71190F"/>
          <w:sz w:val="26"/>
          <w:szCs w:val="26"/>
        </w:rPr>
        <w:t xml:space="preserve">4.1 KPIs PAR PHASE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626"/>
      </w:tblGrid>
      <w:tr>
        <w:tc>
          <w:tcPr>
            <w:tcW w:type="dxa" w:w="24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Phase</w:t>
            </w:r>
          </w:p>
        </w:tc>
        <w:tc>
          <w:tcPr>
            <w:tcW w:type="dxa" w:w="40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Indicateur</w:t>
            </w:r>
          </w:p>
        </w:tc>
        <w:tc>
          <w:tcPr>
            <w:tcW w:type="dxa" w:w="16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Fondation (M1-3)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Site web en ligne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 site + repo public</w:t>
            </w:r>
          </w:p>
        </w:tc>
      </w:tr>
      <w:tr>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Fondation (M1-3)</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Premiers porteurs recrutés</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10–15 personnes/organisations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Fondation (M1-3)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Contenus publiés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3 contenus (article + thread + vidéo)</w:t>
            </w:r>
          </w:p>
        </w:tc>
      </w:tr>
      <w:tr>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Crédibilisation (M4-9)</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Publications académiques</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2–3 soumissions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Crédibilisation (M4-9)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Projets pilotes actifs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3–5 projets</w:t>
            </w:r>
          </w:p>
        </w:tc>
      </w:tr>
      <w:tr>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Crédibilisation (M4-9)</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Langues disponibles</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5 langues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Institutionnalisation (M10-18)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Partenariats institutionnels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3–5 organisations</w:t>
            </w:r>
          </w:p>
        </w:tc>
      </w:tr>
      <w:tr>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Institutionnalisation (M10-18)</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Entreprises ayant adopté la Charte</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5–10 entreprises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Institutionnalisation (M10-18)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Formations délivrées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10+ ateliers ou cours</w:t>
            </w:r>
          </w:p>
        </w:tc>
      </w:tr>
      <w:tr>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Écosystème (M18+)</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Porteurs actifs</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20+ organisations, 10+ pays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Écosystème (M18+)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Incarnations légitimes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3+ contextes culturels</w:t>
            </w:r>
          </w:p>
        </w:tc>
      </w:tr>
      <w:tr>
        <w:tc>
          <w:tcPr>
            <w:tcW w:type="dxa" w:w="24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Écosystème (M18+)</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Indépendance de gouvernance</w:t>
            </w:r>
          </w:p>
        </w:tc>
        <w:tc>
          <w:tcPr>
            <w:tcW w:type="dxa" w:w="16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Comité autonome opérationnel</w:t>
            </w:r>
          </w:p>
        </w:tc>
      </w:tr>
    </w:tbl>
    <w:p>
      <w:pPr>
        <w:spacing w:before="0" w:after="160"/>
      </w:pPr>
    </w:p>
    <w:p>
      <w:pPr>
        <w:pBdr>
          <w:bottom w:val="single" w:color="71190F" w:sz="4" w:space="1"/>
        </w:pBdr>
        <w:spacing w:before="320" w:after="120"/>
      </w:pPr>
      <w:r>
        <w:rPr>
          <w:rFonts w:ascii="Arial" w:cs="Arial" w:eastAsia="Arial" w:hAnsi="Arial"/>
          <w:b/>
          <w:bCs/>
          <w:caps/>
          <w:color w:val="71190F"/>
          <w:sz w:val="26"/>
          <w:szCs w:val="26"/>
        </w:rPr>
        <w:t xml:space="preserve">4.2 MÉTRIQUES D'IMPACT QUALITATIF</w:t>
      </w:r>
    </w:p>
    <w:p>
      <w:pPr>
        <w:pStyle w:val="ListParagraph"/>
        <w:numPr>
          <w:ilvl w:val="0"/>
          <w:numId w:val="2"/>
        </w:numPr>
        <w:spacing w:before="60" w:after="60"/>
      </w:pPr>
      <w:r>
        <w:rPr>
          <w:rFonts w:ascii="Arial" w:cs="Arial" w:eastAsia="Arial" w:hAnsi="Arial"/>
          <w:color w:val="1A1A1A"/>
          <w:sz w:val="22"/>
          <w:szCs w:val="22"/>
        </w:rPr>
        <w:t xml:space="preserve">Diversité des porteurs : nombre de cultures, langues et traditions représentées.</w:t>
      </w:r>
    </w:p>
    <w:p>
      <w:pPr>
        <w:pStyle w:val="ListParagraph"/>
        <w:numPr>
          <w:ilvl w:val="0"/>
          <w:numId w:val="2"/>
        </w:numPr>
        <w:spacing w:before="60" w:after="60"/>
      </w:pPr>
      <w:r>
        <w:rPr>
          <w:rFonts w:ascii="Arial" w:cs="Arial" w:eastAsia="Arial" w:hAnsi="Arial"/>
          <w:color w:val="1A1A1A"/>
          <w:sz w:val="22"/>
          <w:szCs w:val="22"/>
        </w:rPr>
        <w:t xml:space="preserve">Qualité des incarnations : taux de réussite au test de continuité d'identité (T1–T5).</w:t>
      </w:r>
    </w:p>
    <w:p>
      <w:pPr>
        <w:pStyle w:val="ListParagraph"/>
        <w:numPr>
          <w:ilvl w:val="0"/>
          <w:numId w:val="2"/>
        </w:numPr>
        <w:spacing w:before="60" w:after="60"/>
      </w:pPr>
      <w:r>
        <w:rPr>
          <w:rFonts w:ascii="Arial" w:cs="Arial" w:eastAsia="Arial" w:hAnsi="Arial"/>
          <w:color w:val="1A1A1A"/>
          <w:sz w:val="22"/>
          <w:szCs w:val="22"/>
        </w:rPr>
        <w:t xml:space="preserve">Détection de capture : nombre de signaux de capture détectés et traités.</w:t>
      </w:r>
    </w:p>
    <w:p>
      <w:pPr>
        <w:pStyle w:val="ListParagraph"/>
        <w:numPr>
          <w:ilvl w:val="0"/>
          <w:numId w:val="2"/>
        </w:numPr>
        <w:spacing w:before="60" w:after="60"/>
      </w:pPr>
      <w:r>
        <w:rPr>
          <w:rFonts w:ascii="Arial" w:cs="Arial" w:eastAsia="Arial" w:hAnsi="Arial"/>
          <w:color w:val="1A1A1A"/>
          <w:sz w:val="22"/>
          <w:szCs w:val="22"/>
        </w:rPr>
        <w:t xml:space="preserve">Impact sur les décisions : cas documentés où la Charte a modifié un processus décisionnel.</w:t>
      </w:r>
    </w:p>
    <w:p>
      <w:pPr>
        <w:pStyle w:val="ListParagraph"/>
        <w:numPr>
          <w:ilvl w:val="0"/>
          <w:numId w:val="2"/>
        </w:numPr>
        <w:spacing w:before="60" w:after="60"/>
      </w:pPr>
      <w:r>
        <w:rPr>
          <w:rFonts w:ascii="Arial" w:cs="Arial" w:eastAsia="Arial" w:hAnsi="Arial"/>
          <w:color w:val="1A1A1A"/>
          <w:sz w:val="22"/>
          <w:szCs w:val="22"/>
        </w:rPr>
        <w:t xml:space="preserve">Résilience : capacité mesurée de continuer à opérer après perte d'un porteur majeur.</w:t>
      </w:r>
    </w:p>
    <w:p>
      <w:r>
        <w:br w:type="page"/>
      </w:r>
    </w:p>
    <w:p>
      <w:pPr>
        <w:spacing w:before="480" w:after="200"/>
      </w:pPr>
      <w:r>
        <w:rPr>
          <w:rFonts w:ascii="Arial" w:cs="Arial" w:eastAsia="Arial" w:hAnsi="Arial"/>
          <w:b/>
          <w:bCs/>
          <w:color w:val="002F49"/>
          <w:sz w:val="38"/>
          <w:szCs w:val="38"/>
        </w:rPr>
        <w:t xml:space="preserve">PARTIE 5 — RISQUES ET STRATÉGIES D'ATTÉNUATION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3526"/>
      </w:tblGrid>
      <w:tr>
        <w:tc>
          <w:tcPr>
            <w:tcW w:type="dxa" w:w="22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Risque</w:t>
            </w:r>
          </w:p>
        </w:tc>
        <w:tc>
          <w:tcPr>
            <w:tcW w:type="dxa" w:w="12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Probabilité</w:t>
            </w:r>
          </w:p>
        </w:tc>
        <w:tc>
          <w:tcPr>
            <w:tcW w:type="dxa" w:w="11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Impact</w:t>
            </w:r>
          </w:p>
        </w:tc>
        <w:tc>
          <w:tcPr>
            <w:tcW w:type="dxa" w:w="35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Stratégie d'atténuation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Récupération par un acteur dominant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Élevée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Critique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Détection de capture intégrée + distribution diversifiée des porteurs</w:t>
            </w:r>
          </w:p>
        </w:tc>
      </w:tr>
      <w:tr>
        <w:tc>
          <w:tcPr>
            <w:tcW w:type="dxa" w:w="2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Simplification excessive (sloganisation)</w:t>
            </w:r>
          </w:p>
        </w:tc>
        <w:tc>
          <w:tcPr>
            <w:tcW w:type="dxa" w:w="1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Élevée</w:t>
            </w:r>
          </w:p>
        </w:tc>
        <w:tc>
          <w:tcPr>
            <w:tcW w:type="dxa" w:w="1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Majeur</w:t>
            </w:r>
          </w:p>
        </w:tc>
        <w:tc>
          <w:tcPr>
            <w:tcW w:type="dxa" w:w="35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Transmission en 5 formes obligatoires + référence au document complet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Rejet académique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Modérée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Modéré</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Posture d'honnêteté radicale + tensions nommées + preuves de concept</w:t>
            </w:r>
          </w:p>
        </w:tc>
      </w:tr>
      <w:tr>
        <w:tc>
          <w:tcPr>
            <w:tcW w:type="dxa" w:w="2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Indifférence des entreprises</w:t>
            </w:r>
          </w:p>
        </w:tc>
        <w:tc>
          <w:tcPr>
            <w:tcW w:type="dxa" w:w="1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Modérée</w:t>
            </w:r>
          </w:p>
        </w:tc>
        <w:tc>
          <w:tcPr>
            <w:tcW w:type="dxa" w:w="1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Majeur</w:t>
            </w:r>
          </w:p>
        </w:tc>
        <w:tc>
          <w:tcPr>
            <w:tcW w:type="dxa" w:w="35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Démontrer la valeur ajoutée concrète via pilotes + différenciation marché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Fragmentation entre incarnations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Modérée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Modéré</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Test de continuité d'identité (T1–T5) + acceptation du pluralisme interprétatif</w:t>
            </w:r>
          </w:p>
        </w:tc>
      </w:tr>
      <w:tr>
        <w:tc>
          <w:tcPr>
            <w:tcW w:type="dxa" w:w="2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Biais des porteurs fondateurs</w:t>
            </w:r>
          </w:p>
        </w:tc>
        <w:tc>
          <w:tcPr>
            <w:tcW w:type="dxa" w:w="12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Élevée</w:t>
            </w:r>
          </w:p>
        </w:tc>
        <w:tc>
          <w:tcPr>
            <w:tcW w:type="dxa" w:w="11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Modéré</w:t>
            </w:r>
          </w:p>
        </w:tc>
        <w:tc>
          <w:tcPr>
            <w:tcW w:type="dxa" w:w="35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Bootstrap acknowledgment + diversification urgente + invitation à correction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Perte d'élan après le lancement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Modérée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Majeur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Financement durable + transfert de gouvernance + ancrage institutionnel</w:t>
            </w:r>
          </w:p>
        </w:tc>
      </w:tr>
    </w:tbl>
    <w:p>
      <w:pPr>
        <w:spacing w:before="0" w:after="160"/>
      </w:pPr>
    </w:p>
    <w:p>
      <w:pPr>
        <w:spacing w:before="480" w:after="200"/>
      </w:pPr>
      <w:r>
        <w:rPr>
          <w:rFonts w:ascii="Arial" w:cs="Arial" w:eastAsia="Arial" w:hAnsi="Arial"/>
          <w:b/>
          <w:bCs/>
          <w:color w:val="002F49"/>
          <w:sz w:val="38"/>
          <w:szCs w:val="38"/>
        </w:rPr>
        <w:t xml:space="preserve">PARTIE 6 — BUDGET ESTIMATIF</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1026"/>
      </w:tblGrid>
      <w:tr>
        <w:tc>
          <w:tcPr>
            <w:tcW w:type="dxa" w:w="30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Poste</w:t>
            </w:r>
          </w:p>
        </w:tc>
        <w:tc>
          <w:tcPr>
            <w:tcW w:type="dxa" w:w="40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Détail</w:t>
            </w:r>
          </w:p>
        </w:tc>
        <w:tc>
          <w:tcPr>
            <w:tcW w:type="dxa" w:w="10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Budget estimé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Infrastructure numérique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Site web, hébergement, repository, domaine</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5 000 – 10 000 $</w:t>
            </w:r>
          </w:p>
        </w:tc>
      </w:tr>
      <w:tr>
        <w:tc>
          <w:tcPr>
            <w:tcW w:type="dxa" w:w="3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Traductions professionnelles</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5 langues x document complet + manifestes</w:t>
            </w:r>
          </w:p>
        </w:tc>
        <w:tc>
          <w:tcPr>
            <w:tcW w:type="dxa" w:w="1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15 000 – 25 000 $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Production de contenu</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Vidéos, articles, design graphique</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10 000 – 20 000 $</w:t>
            </w:r>
          </w:p>
        </w:tc>
      </w:tr>
      <w:tr>
        <w:tc>
          <w:tcPr>
            <w:tcW w:type="dxa" w:w="3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Recherche et développement</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Pilotes, preuves de concept, évaluations</w:t>
            </w:r>
          </w:p>
        </w:tc>
        <w:tc>
          <w:tcPr>
            <w:tcW w:type="dxa" w:w="1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20 000 – 40 000 $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Événements et formation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Hackathon, ateliers, conférences</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15 000 – 30 000 $</w:t>
            </w:r>
          </w:p>
        </w:tc>
      </w:tr>
      <w:tr>
        <w:tc>
          <w:tcPr>
            <w:tcW w:type="dxa" w:w="3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Coordination et gestion</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Chef de projet, communication (temps partiel)</w:t>
            </w:r>
          </w:p>
        </w:tc>
        <w:tc>
          <w:tcPr>
            <w:tcW w:type="dxa" w:w="1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30 000 – 60 000 $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Archivage et pérennité</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Dépôts, licences, impressions physiques</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3 000 – 5 000 $</w:t>
            </w:r>
          </w:p>
        </w:tc>
      </w:tr>
      <w:tr>
        <w:tc>
          <w:tcPr>
            <w:tcW w:type="dxa" w:w="3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TOTAL ESTIMÉ</w:t>
            </w:r>
          </w:p>
        </w:tc>
        <w:tc>
          <w:tcPr>
            <w:tcW w:type="dxa" w:w="4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
            </w:r>
          </w:p>
        </w:tc>
        <w:tc>
          <w:tcPr>
            <w:tcW w:type="dxa" w:w="10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98 000 – 190 000 $</w:t>
            </w:r>
          </w:p>
        </w:tc>
      </w:tr>
    </w:tbl>
    <w:p>
      <w:pPr>
        <w:spacing w:before="0" w:after="80"/>
      </w:pPr>
    </w:p>
    <w:p>
      <w:pPr>
        <w:spacing w:before="80" w:after="80"/>
        <w:jc w:val="both"/>
      </w:pPr>
      <w:r>
        <w:rPr>
          <w:rFonts w:ascii="Arial" w:cs="Arial" w:eastAsia="Arial" w:hAnsi="Arial"/>
          <w:i/>
          <w:iCs/>
          <w:color w:val="666666"/>
          <w:sz w:val="22"/>
          <w:szCs w:val="22"/>
        </w:rPr>
        <w:t xml:space="preserve">Ce budget peut être significativement réduit si des bénévoles et des partenaires institutionnels contribuent en nature (temps, hébergement, traduction, recherche).</w:t>
      </w:r>
    </w:p>
    <w:p>
      <w:r>
        <w:br w:type="page"/>
      </w:r>
    </w:p>
    <w:p>
      <w:pPr>
        <w:spacing w:before="480" w:after="200"/>
      </w:pPr>
      <w:r>
        <w:rPr>
          <w:rFonts w:ascii="Arial" w:cs="Arial" w:eastAsia="Arial" w:hAnsi="Arial"/>
          <w:b/>
          <w:bCs/>
          <w:color w:val="002F49"/>
          <w:sz w:val="38"/>
          <w:szCs w:val="38"/>
        </w:rPr>
        <w:t xml:space="preserve">PARTIE 7 — FEUILLE DE ROUTE SYNTHÉTIQUE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2726"/>
      </w:tblGrid>
      <w:tr>
        <w:tc>
          <w:tcPr>
            <w:tcW w:type="dxa" w:w="10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Mois</w:t>
            </w:r>
          </w:p>
        </w:tc>
        <w:tc>
          <w:tcPr>
            <w:tcW w:type="dxa" w:w="4300"/>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Actions prioritaires</w:t>
            </w:r>
          </w:p>
        </w:tc>
        <w:tc>
          <w:tcPr>
            <w:tcW w:type="dxa" w:w="2726"/>
            <w:tcBorders>
              <w:top w:val="single" w:color="CCCCCC" w:sz="1"/>
              <w:left w:val="single" w:color="CCCCCC" w:sz="1"/>
              <w:bottom w:val="single" w:color="CCCCCC" w:sz="1"/>
              <w:right w:val="single" w:color="CCCCCC" w:sz="1"/>
            </w:tcBorders>
            <w:shd w:fill="002F49"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Livrable clé</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M1</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Finaliser les documents + lancer le site web</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Site + repo + manifestes</w:t>
            </w:r>
          </w:p>
        </w:tc>
      </w:tr>
      <w:tr>
        <w:tc>
          <w:tcPr>
            <w:tcW w:type="dxa" w:w="1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M2</w:t>
            </w:r>
          </w:p>
        </w:tc>
        <w:tc>
          <w:tcPr>
            <w:tcW w:type="dxa" w:w="43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Campagne de lancement + recrutement premiers porteurs</w:t>
            </w:r>
          </w:p>
        </w:tc>
        <w:tc>
          <w:tcPr>
            <w:tcW w:type="dxa" w:w="27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Article + thread + vidéo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Premiers retours + ajustements + structuration communauté</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Communauté active (10–15 porteurs)</w:t>
            </w:r>
          </w:p>
        </w:tc>
      </w:tr>
      <w:tr>
        <w:tc>
          <w:tcPr>
            <w:tcW w:type="dxa" w:w="1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M4-5</w:t>
            </w:r>
          </w:p>
        </w:tc>
        <w:tc>
          <w:tcPr>
            <w:tcW w:type="dxa" w:w="43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Soumission académique + démarrage pilotes</w:t>
            </w:r>
          </w:p>
        </w:tc>
        <w:tc>
          <w:tcPr>
            <w:tcW w:type="dxa" w:w="27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1ère soumission + 2 pilotes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M6-7</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Traductions + hackathon + documentation technique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5 langues + guide développeur</w:t>
            </w:r>
          </w:p>
        </w:tc>
      </w:tr>
      <w:tr>
        <w:tc>
          <w:tcPr>
            <w:tcW w:type="dxa" w:w="1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M8-9</w:t>
            </w:r>
          </w:p>
        </w:tc>
        <w:tc>
          <w:tcPr>
            <w:tcW w:type="dxa" w:w="43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Résultats pilotes + expansion porteurs + comité de révision</w:t>
            </w:r>
          </w:p>
        </w:tc>
        <w:tc>
          <w:tcPr>
            <w:tcW w:type="dxa" w:w="27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Rapport pilotes + comité constitué</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M10-12</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Partenariats institutionnels + MOOC + archivage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Cours en ligne + 3 partenariats</w:t>
            </w:r>
          </w:p>
        </w:tc>
      </w:tr>
      <w:tr>
        <w:tc>
          <w:tcPr>
            <w:tcW w:type="dxa" w:w="10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M13-15</w:t>
            </w:r>
          </w:p>
        </w:tc>
        <w:tc>
          <w:tcPr>
            <w:tcW w:type="dxa" w:w="4300"/>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Intégration entreprises + formations professionnelles</w:t>
            </w:r>
          </w:p>
        </w:tc>
        <w:tc>
          <w:tcPr>
            <w:tcW w:type="dxa" w:w="2726"/>
            <w:tcBorders>
              <w:top w:val="single" w:color="CCCCCC" w:sz="1"/>
              <w:left w:val="single" w:color="CCCCCC" w:sz="1"/>
              <w:bottom w:val="single" w:color="CCCCCC" w:sz="1"/>
              <w:right w:val="single" w:color="CCCCCC" w:sz="1"/>
            </w:tcBorders>
            <w:shd w:fill="F4F0EC" w:val="clear"/>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5 entreprises + 10 ateliers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M16-18</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Transfert de gouvernance + premières incarnations</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19"/>
                <w:szCs w:val="19"/>
              </w:rPr>
              <w:t xml:space="preserve">Comité autonome + 2 incarnations</w:t>
            </w:r>
          </w:p>
        </w:tc>
      </w:tr>
    </w:tbl>
    <w:p>
      <w:pPr>
        <w:spacing w:before="0" w:after="240"/>
      </w:pPr>
    </w:p>
    <w:p>
      <w:pPr>
        <w:pBdr>
          <w:bottom w:val="single" w:color="71190F" w:sz="4" w:space="1"/>
        </w:pBdr>
        <w:spacing w:before="320" w:after="120"/>
      </w:pPr>
      <w:r>
        <w:rPr>
          <w:rFonts w:ascii="Arial" w:cs="Arial" w:eastAsia="Arial" w:hAnsi="Arial"/>
          <w:b/>
          <w:bCs/>
          <w:caps/>
          <w:color w:val="71190F"/>
          <w:sz w:val="26"/>
          <w:szCs w:val="26"/>
        </w:rPr>
        <w:t xml:space="preserve">CONCLUSION</w:t>
      </w:r>
    </w:p>
    <w:p>
      <w:pPr>
        <w:spacing w:before="80" w:after="80"/>
        <w:jc w:val="both"/>
      </w:pPr>
      <w:r>
        <w:rPr>
          <w:rFonts w:ascii="Arial" w:cs="Arial" w:eastAsia="Arial" w:hAnsi="Arial"/>
          <w:color w:val="1A1A1A"/>
          <w:sz w:val="22"/>
          <w:szCs w:val="22"/>
        </w:rPr>
        <w:t xml:space="preserve">La diffusion de l'AI Intent Charter for Life n'est pas un exercice de communication. C'est un acte de survie épistémique. Un cadre qui ne vit que dans un seul document, une seule langue, une seule culture, meurt avec eux.</w:t>
      </w:r>
    </w:p>
    <w:p>
      <w:pPr>
        <w:spacing w:before="80" w:after="80"/>
        <w:jc w:val="both"/>
      </w:pPr>
      <w:r>
        <w:rPr>
          <w:rFonts w:ascii="Arial" w:cs="Arial" w:eastAsia="Arial" w:hAnsi="Arial"/>
          <w:color w:val="1A1A1A"/>
          <w:sz w:val="22"/>
          <w:szCs w:val="22"/>
        </w:rPr>
        <w:t xml:space="preserve">La stratégie proposée repose sur le même principe que la Charte elle-même : distribuer pour survivre, diversifier pour résister, nommer ses limites pour rester crédible.</w:t>
      </w:r>
    </w:p>
    <w:p>
      <w:pPr>
        <w:spacing w:before="80" w:after="80"/>
        <w:jc w:val="both"/>
      </w:pPr>
      <w:r>
        <w:rPr>
          <w:rFonts w:ascii="Arial" w:cs="Arial" w:eastAsia="Arial" w:hAnsi="Arial"/>
          <w:color w:val="1A1A1A"/>
          <w:sz w:val="22"/>
          <w:szCs w:val="22"/>
        </w:rPr>
        <w:t xml:space="preserve">Chaque implémentation concrète — qu'il s'agisse d'un prompt système, d'un atelier de formation, d'une incarnation culturelle ou d'un plaidoyer politique — est une incarnation vivante du principe fondateur : maximiser les possibilités futures du vivant.</w:t>
      </w:r>
    </w:p>
    <w:p>
      <w:pPr>
        <w:spacing w:before="0" w:after="240"/>
      </w:pPr>
    </w:p>
    <w:p>
      <w:pPr>
        <w:pBdr>
          <w:bottom w:val="single" w:color="71190F" w:sz="8" w:space="1"/>
        </w:pBdr>
        <w:spacing w:before="0" w:after="160"/>
      </w:pPr>
    </w:p>
    <w:p>
      <w:pPr>
        <w:spacing w:before="200" w:after="200"/>
        <w:ind w:left="720" w:right="720"/>
        <w:jc w:val="center"/>
      </w:pPr>
      <w:r>
        <w:rPr>
          <w:rFonts w:ascii="Arial" w:cs="Arial" w:eastAsia="Arial" w:hAnsi="Arial"/>
          <w:i/>
          <w:iCs/>
          <w:color w:val="1F7A8C"/>
          <w:sz w:val="23"/>
          <w:szCs w:val="23"/>
        </w:rPr>
        <w:t xml:space="preserve">« Un cadre ne dure pas parce qu'il est bien écrit. Il dure parce que son esprit peut renaître dans des formes, des cultures et des architectures successives. »</w:t>
      </w:r>
    </w:p>
    <w:p>
      <w:pPr>
        <w:jc w:val="center"/>
      </w:pPr>
      <w:r>
        <w:rPr>
          <w:rFonts w:ascii="Arial" w:cs="Arial" w:eastAsia="Arial" w:hAnsi="Arial"/>
          <w:i/>
          <w:iCs/>
          <w:color w:val="888888"/>
          <w:sz w:val="18"/>
          <w:szCs w:val="18"/>
        </w:rPr>
        <w:t xml:space="preserve">Développé par David Sioui — Yarha' — 17 mars 2026  |  AI Intent Charter for Life v3.3</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8C" w:sz="4" w:space="4"/>
      </w:pBdr>
      <w:tabs>
        <w:tab w:val="right" w:pos="9026"/>
      </w:tabs>
      <w:spacing w:before="120"/>
    </w:pPr>
    <w:r>
      <w:rPr>
        <w:rFonts w:ascii="Arial" w:cs="Arial" w:eastAsia="Arial" w:hAnsi="Arial"/>
        <w:color w:val="71190F"/>
        <w:sz w:val="16"/>
        <w:szCs w:val="16"/>
      </w:rPr>
      <w:t xml:space="preserve">Développé par David Sioui — Yarha' — 17 mars 2026  |  </w:t>
    </w:r>
    <w:r>
      <w:rPr>
        <w:rFonts w:ascii="Arial" w:cs="Arial" w:eastAsia="Arial" w:hAnsi="Arial"/>
        <w:color w:val="888888"/>
        <w:sz w:val="16"/>
        <w:szCs w:val="16"/>
      </w:rPr>
      <w:t xml:space="preserve">dsioui@yarha.ca  |  www.yarha.ca</w:t>
    </w:r>
    <w:r>
      <w:rPr>
        <w:rFonts w:ascii="Arial" w:cs="Arial" w:eastAsia="Arial" w:hAnsi="Arial"/>
        <w:sz w:val="16"/>
        <w:szCs w:val="16"/>
      </w:rPr>
      <w:t xml:space="preserve">		</w:t>
    </w:r>
    <w:r>
      <w:rPr>
        <w:rFonts w:ascii="Arial" w:cs="Arial" w:eastAsia="Arial" w:hAnsi="Arial"/>
        <w:color w:val="1F7A8C"/>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8C" w:sz="4" w:space="4"/>
      </w:pBdr>
      <w:spacing w:after="120"/>
    </w:pPr>
    <w:r>
      <w:drawing>
        <wp:inline distT="0" distB="0" distL="0" distR="0">
          <wp:extent cx="76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09575"/>
                  </a:xfrm>
                  <a:prstGeom prst="rect">
                    <a:avLst/>
                  </a:prstGeom>
                </pic:spPr>
              </pic:pic>
            </a:graphicData>
          </a:graphic>
        </wp:inline>
      </w:drawing>
    </w:r>
    <w:r>
      <w:rPr>
        <w:rFonts w:ascii="Arial" w:cs="Arial" w:eastAsia="Arial" w:hAnsi="Arial"/>
        <w:color w:val="1F7A8C"/>
        <w:sz w:val="18"/>
        <w:szCs w:val="18"/>
      </w:rPr>
      <w:t xml:space="preserve">   AI Intent Charter for Life v3.3  —  Plan Stratégique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71190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c05634fa54869c2cc736bd9d7090e52b71fe37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c05634fa54869c2cc736bd9d7090e52b71fe37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2026-03-17T19:08:42.780Z</dcterms:created>
  <dcterms:modified xsi:type="dcterms:W3CDTF">2026-03-17T19:08:42.780Z</dcterms:modified>
</cp:coreProperties>
</file>

<file path=docProps/custom.xml><?xml version="1.0" encoding="utf-8"?>
<Properties xmlns="http://schemas.openxmlformats.org/officeDocument/2006/custom-properties" xmlns:vt="http://schemas.openxmlformats.org/officeDocument/2006/docPropsVTypes"/>
</file>