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spacing w:after="900"/>
        <w:jc w:val="center"/>
      </w:pPr>
      <w:r>
        <w:rPr>
          <w:rFonts w:ascii="Times New Roman" w:cs="Times New Roman" w:eastAsia="Times New Roman" w:hAnsi="Times New Roman"/>
          <w:b/>
          <w:bCs/>
          <w:sz w:val="30"/>
          <w:szCs w:val="30"/>
        </w:rPr>
        <w:t xml:space="preserve">AGENTE INVERSOR: DESARROLLO DE UNA ESTRATEGIA DE INVERSIÓN EN BTC/USD MEDIANTE APRENDIZAJE POR REFUERZO</w:t>
      </w:r>
    </w:p>
    <w:p>
      <w:pPr>
        <w:spacing w:after="160"/>
        <w:jc w:val="center"/>
      </w:pPr>
      <w:r>
        <w:rPr>
          <w:rFonts w:ascii="Times New Roman" w:cs="Times New Roman" w:eastAsia="Times New Roman" w:hAnsi="Times New Roman"/>
          <w:sz w:val="24"/>
          <w:szCs w:val="24"/>
        </w:rPr>
        <w:t xml:space="preserve">Universidad de La Sabana</w:t>
      </w:r>
    </w:p>
    <w:p>
      <w:pPr>
        <w:spacing w:after="160"/>
        <w:jc w:val="center"/>
      </w:pPr>
      <w:r>
        <w:rPr>
          <w:rFonts w:ascii="Times New Roman" w:cs="Times New Roman" w:eastAsia="Times New Roman" w:hAnsi="Times New Roman"/>
          <w:sz w:val="24"/>
          <w:szCs w:val="24"/>
        </w:rPr>
        <w:t xml:space="preserve">Maestría en Inteligencia Artificial</w:t>
      </w:r>
    </w:p>
    <w:p>
      <w:pPr>
        <w:spacing w:after="160"/>
        <w:jc w:val="center"/>
      </w:pPr>
      <w:r>
        <w:rPr>
          <w:rFonts w:ascii="Times New Roman" w:cs="Times New Roman" w:eastAsia="Times New Roman" w:hAnsi="Times New Roman"/>
          <w:sz w:val="24"/>
          <w:szCs w:val="24"/>
        </w:rPr>
        <w:t xml:space="preserve">Asignatura: Simulación y Aprendizaje por Refuerzo MIA 2026-5</w:t>
      </w:r>
    </w:p>
    <w:p>
      <w:pPr>
        <w:spacing w:after="600"/>
        <w:jc w:val="center"/>
      </w:pPr>
      <w:r>
        <w:rPr>
          <w:rFonts w:ascii="Times New Roman" w:cs="Times New Roman" w:eastAsia="Times New Roman" w:hAnsi="Times New Roman"/>
          <w:sz w:val="24"/>
          <w:szCs w:val="24"/>
        </w:rPr>
        <w:t xml:space="preserve">Profesor: Emilio Muñoz Pérez</w:t>
      </w:r>
    </w:p>
    <w:p>
      <w:pPr>
        <w:spacing w:after="600"/>
        <w:jc w:val="center"/>
      </w:pPr>
      <w:r>
        <w:rPr>
          <w:rFonts w:ascii="Times New Roman" w:cs="Times New Roman" w:eastAsia="Times New Roman" w:hAnsi="Times New Roman"/>
          <w:b/>
          <w:bCs/>
          <w:sz w:val="24"/>
          <w:szCs w:val="24"/>
        </w:rPr>
        <w:t xml:space="preserve">Integrantes: Grupo 4</w:t>
      </w:r>
    </w:p>
    <w:p>
      <w:pPr>
        <w:spacing w:after="160"/>
        <w:jc w:val="center"/>
      </w:pPr>
      <w:r>
        <w:rPr>
          <w:rFonts w:ascii="Times New Roman" w:cs="Times New Roman" w:eastAsia="Times New Roman" w:hAnsi="Times New Roman"/>
          <w:sz w:val="24"/>
          <w:szCs w:val="24"/>
        </w:rPr>
        <w:t xml:space="preserve">Código y resultados:</w:t>
      </w:r>
    </w:p>
    <w:p>
      <w:pPr>
        <w:spacing w:after="900"/>
        <w:jc w:val="center"/>
      </w:pPr>
      <w:r>
        <w:rPr>
          <w:rFonts w:ascii="Times New Roman" w:cs="Times New Roman" w:eastAsia="Times New Roman" w:hAnsi="Times New Roman"/>
          <w:color w:val="1F4E79"/>
        </w:rPr>
        <w:t xml:space="preserve">https://github.com/dsiriarte/agente-inversor-btc</w:t>
      </w:r>
    </w:p>
    <w:p>
      <w:pPr>
        <w:spacing w:after="160"/>
        <w:jc w:val="center"/>
      </w:pPr>
      <w:r>
        <w:rPr>
          <w:rFonts w:ascii="Times New Roman" w:cs="Times New Roman" w:eastAsia="Times New Roman" w:hAnsi="Times New Roman"/>
          <w:sz w:val="24"/>
          <w:szCs w:val="24"/>
        </w:rPr>
        <w:t xml:space="preserve">Octubre de 2026</w:t>
      </w:r>
    </w:p>
    <w:p>
      <w:r>
        <w:br w:type="page"/>
      </w:r>
    </w:p>
    <w:p>
      <w:pPr>
        <w:pStyle w:val="Heading1"/>
        <w:keepNext/>
      </w:pPr>
      <w:r>
        <w:rPr>
          <w:rFonts w:ascii="Times New Roman" w:cs="Times New Roman" w:eastAsia="Times New Roman" w:hAnsi="Times New Roman"/>
        </w:rPr>
        <w:t xml:space="preserve">Contenido</w:t>
      </w:r>
    </w:p>
    <w:p>
      <w:pPr>
        <w:spacing w:after="60"/>
      </w:pPr>
      <w:r>
        <w:rPr>
          <w:rFonts w:ascii="Times New Roman" w:cs="Times New Roman" w:eastAsia="Times New Roman" w:hAnsi="Times New Roman"/>
        </w:rPr>
        <w:t xml:space="preserve">Resumen</w:t>
      </w:r>
    </w:p>
    <w:p>
      <w:pPr>
        <w:spacing w:after="60"/>
      </w:pPr>
      <w:r>
        <w:rPr>
          <w:rFonts w:ascii="Times New Roman" w:cs="Times New Roman" w:eastAsia="Times New Roman" w:hAnsi="Times New Roman"/>
        </w:rPr>
        <w:t xml:space="preserve">1. Introducción</w:t>
      </w:r>
    </w:p>
    <w:p>
      <w:pPr>
        <w:spacing w:after="60"/>
      </w:pPr>
      <w:r>
        <w:rPr>
          <w:rFonts w:ascii="Times New Roman" w:cs="Times New Roman" w:eastAsia="Times New Roman" w:hAnsi="Times New Roman"/>
        </w:rPr>
        <w:t xml:space="preserve">2. Planteamiento del problema</w:t>
      </w:r>
    </w:p>
    <w:p>
      <w:pPr>
        <w:spacing w:after="60"/>
      </w:pPr>
      <w:r>
        <w:rPr>
          <w:rFonts w:ascii="Times New Roman" w:cs="Times New Roman" w:eastAsia="Times New Roman" w:hAnsi="Times New Roman"/>
        </w:rPr>
        <w:t xml:space="preserve">3. Objetivos</w:t>
      </w:r>
    </w:p>
    <w:p>
      <w:pPr>
        <w:spacing w:after="60"/>
      </w:pPr>
      <w:r>
        <w:rPr>
          <w:rFonts w:ascii="Times New Roman" w:cs="Times New Roman" w:eastAsia="Times New Roman" w:hAnsi="Times New Roman"/>
        </w:rPr>
        <w:t xml:space="preserve">4. Formulación del problema como aprendizaje por refuerzo</w:t>
      </w:r>
    </w:p>
    <w:p>
      <w:pPr>
        <w:spacing w:after="60"/>
      </w:pPr>
      <w:r>
        <w:rPr>
          <w:rFonts w:ascii="Times New Roman" w:cs="Times New Roman" w:eastAsia="Times New Roman" w:hAnsi="Times New Roman"/>
        </w:rPr>
        <w:t xml:space="preserve">5. Datos y análisis exploratorio</w:t>
      </w:r>
    </w:p>
    <w:p>
      <w:pPr>
        <w:spacing w:after="60"/>
      </w:pPr>
      <w:r>
        <w:rPr>
          <w:rFonts w:ascii="Times New Roman" w:cs="Times New Roman" w:eastAsia="Times New Roman" w:hAnsi="Times New Roman"/>
        </w:rPr>
        <w:t xml:space="preserve">6. Diseño del entorno de inversión</w:t>
      </w:r>
    </w:p>
    <w:p>
      <w:pPr>
        <w:spacing w:after="60"/>
      </w:pPr>
      <w:r>
        <w:rPr>
          <w:rFonts w:ascii="Times New Roman" w:cs="Times New Roman" w:eastAsia="Times New Roman" w:hAnsi="Times New Roman"/>
        </w:rPr>
        <w:t xml:space="preserve">7. Diseño e iteración de la recompensa</w:t>
      </w:r>
    </w:p>
    <w:p>
      <w:pPr>
        <w:spacing w:after="60"/>
      </w:pPr>
      <w:r>
        <w:rPr>
          <w:rFonts w:ascii="Times New Roman" w:cs="Times New Roman" w:eastAsia="Times New Roman" w:hAnsi="Times New Roman"/>
        </w:rPr>
        <w:t xml:space="preserve">8. Algoritmo: Deep Q-Network</w:t>
      </w:r>
    </w:p>
    <w:p>
      <w:pPr>
        <w:spacing w:after="60"/>
      </w:pPr>
      <w:r>
        <w:rPr>
          <w:rFonts w:ascii="Times New Roman" w:cs="Times New Roman" w:eastAsia="Times New Roman" w:hAnsi="Times New Roman"/>
        </w:rPr>
        <w:t xml:space="preserve">9. Protocolo de entrenamiento y evaluación</w:t>
      </w:r>
    </w:p>
    <w:p>
      <w:pPr>
        <w:spacing w:after="60"/>
      </w:pPr>
      <w:r>
        <w:rPr>
          <w:rFonts w:ascii="Times New Roman" w:cs="Times New Roman" w:eastAsia="Times New Roman" w:hAnsi="Times New Roman"/>
        </w:rPr>
        <w:t xml:space="preserve">10. Resultados en datos no vistos</w:t>
      </w:r>
    </w:p>
    <w:p>
      <w:pPr>
        <w:spacing w:after="60"/>
      </w:pPr>
      <w:r>
        <w:rPr>
          <w:rFonts w:ascii="Times New Roman" w:cs="Times New Roman" w:eastAsia="Times New Roman" w:hAnsi="Times New Roman"/>
        </w:rPr>
        <w:t xml:space="preserve">11. Discusión: limitaciones, reward hacking y no estacionariedad</w:t>
      </w:r>
    </w:p>
    <w:p>
      <w:pPr>
        <w:spacing w:after="60"/>
      </w:pPr>
      <w:r>
        <w:rPr>
          <w:rFonts w:ascii="Times New Roman" w:cs="Times New Roman" w:eastAsia="Times New Roman" w:hAnsi="Times New Roman"/>
        </w:rPr>
        <w:t xml:space="preserve">12. Conclusiones</w:t>
      </w:r>
    </w:p>
    <w:p>
      <w:pPr>
        <w:spacing w:after="60"/>
      </w:pPr>
      <w:r>
        <w:rPr>
          <w:rFonts w:ascii="Times New Roman" w:cs="Times New Roman" w:eastAsia="Times New Roman" w:hAnsi="Times New Roman"/>
        </w:rPr>
        <w:t xml:space="preserve">13. Reflexión individual</w:t>
      </w:r>
    </w:p>
    <w:p>
      <w:pPr>
        <w:spacing w:after="60"/>
      </w:pPr>
      <w:r>
        <w:rPr>
          <w:rFonts w:ascii="Times New Roman" w:cs="Times New Roman" w:eastAsia="Times New Roman" w:hAnsi="Times New Roman"/>
        </w:rPr>
        <w:t xml:space="preserve">14. Reproducibilidad</w:t>
      </w:r>
    </w:p>
    <w:p>
      <w:pPr>
        <w:spacing w:after="60"/>
      </w:pPr>
      <w:r>
        <w:rPr>
          <w:rFonts w:ascii="Times New Roman" w:cs="Times New Roman" w:eastAsia="Times New Roman" w:hAnsi="Times New Roman"/>
        </w:rPr>
        <w:t xml:space="preserve">Referencias</w:t>
      </w:r>
    </w:p>
    <w:p>
      <w:pPr>
        <w:spacing w:after="60"/>
      </w:pPr>
      <w:r>
        <w:rPr>
          <w:rFonts w:ascii="Times New Roman" w:cs="Times New Roman" w:eastAsia="Times New Roman" w:hAnsi="Times New Roman"/>
        </w:rPr>
        <w:t xml:space="preserve">Anexo A. Primera versión del agente</w:t>
      </w:r>
    </w:p>
    <w:p>
      <w:r>
        <w:br w:type="page"/>
      </w:r>
    </w:p>
    <w:p>
      <w:pPr>
        <w:pStyle w:val="Heading1"/>
        <w:keepNext/>
      </w:pPr>
      <w:r>
        <w:rPr>
          <w:rFonts w:ascii="Times New Roman" w:cs="Times New Roman" w:eastAsia="Times New Roman" w:hAnsi="Times New Roman"/>
        </w:rPr>
        <w:t xml:space="preserve">Resumen</w:t>
      </w:r>
    </w:p>
    <w:p>
      <w:pPr>
        <w:spacing w:after="140" w:line="300"/>
        <w:jc w:val="both"/>
      </w:pPr>
      <w:r>
        <w:rPr>
          <w:rFonts w:ascii="Times New Roman" w:cs="Times New Roman" w:eastAsia="Times New Roman" w:hAnsi="Times New Roman"/>
        </w:rPr>
        <w:t xml:space="preserve">Este proyecto construye un agente de aprendizaje por refuerzo que decide, cada hora, qué fracción del capital mantener en Bitcoin: 0 %, 50 % o 100 %. El agente usa el algoritmo Deep Q-Network (DQN) y aprende con datos horarios de BTC/USD entre mayo de 2018 y junio de 2020. Se eligió entre seis versiones (tres funciones de recompensa, una de ellas con tres intensidades, y dos formas de representar el estado) usando un periodo de validación, con una regla escrita antes de conocer los resultados. Después se evaluó una sola vez en un periodo que el agente nunca vio: del 9 de enero de 2021 al 1 de marzo de 2022.</w:t>
      </w:r>
    </w:p>
    <w:p>
      <w:pPr>
        <w:spacing w:after="140" w:line="300"/>
        <w:jc w:val="both"/>
      </w:pPr>
      <w:r>
        <w:rPr>
          <w:rFonts w:ascii="Times New Roman" w:cs="Times New Roman" w:eastAsia="Times New Roman" w:hAnsi="Times New Roman"/>
        </w:rPr>
        <w:t xml:space="preserve">El agente elegido perdió </w:t>
      </w:r>
      <w:r>
        <w:rPr>
          <w:rFonts w:ascii="Times New Roman" w:cs="Times New Roman" w:eastAsia="Times New Roman" w:hAnsi="Times New Roman"/>
          <w:b/>
          <w:bCs/>
        </w:rPr>
        <w:t xml:space="preserve">8,91 %</w:t>
      </w:r>
      <w:r>
        <w:rPr>
          <w:rFonts w:ascii="Times New Roman" w:cs="Times New Roman" w:eastAsia="Times New Roman" w:hAnsi="Times New Roman"/>
        </w:rPr>
        <w:t xml:space="preserve"> en la prueba, con un máximo drawdown de </w:t>
      </w:r>
      <w:r>
        <w:rPr>
          <w:rFonts w:ascii="Times New Roman" w:cs="Times New Roman" w:eastAsia="Times New Roman" w:hAnsi="Times New Roman"/>
          <w:b/>
          <w:bCs/>
        </w:rPr>
        <w:t xml:space="preserve">55,20 %</w:t>
      </w:r>
      <w:r>
        <w:rPr>
          <w:rFonts w:ascii="Times New Roman" w:cs="Times New Roman" w:eastAsia="Times New Roman" w:hAnsi="Times New Roman"/>
        </w:rPr>
        <w:t xml:space="preserve"> y 425,68 USD en costos. En el mismo periodo, comprar y mantener ganó </w:t>
      </w:r>
      <w:r>
        <w:rPr>
          <w:rFonts w:ascii="Times New Roman" w:cs="Times New Roman" w:eastAsia="Times New Roman" w:hAnsi="Times New Roman"/>
          <w:b/>
          <w:bCs/>
        </w:rPr>
        <w:t xml:space="preserve">5,86 %</w:t>
      </w:r>
      <w:r>
        <w:rPr>
          <w:rFonts w:ascii="Times New Roman" w:cs="Times New Roman" w:eastAsia="Times New Roman" w:hAnsi="Times New Roman"/>
        </w:rPr>
        <w:t xml:space="preserve"> (drawdown de 54,83 %), mantener siempre el 50 % ganó </w:t>
      </w:r>
      <w:r>
        <w:rPr>
          <w:rFonts w:ascii="Times New Roman" w:cs="Times New Roman" w:eastAsia="Times New Roman" w:hAnsi="Times New Roman"/>
          <w:b/>
          <w:bCs/>
        </w:rPr>
        <w:t xml:space="preserve">12,11 %</w:t>
      </w:r>
      <w:r>
        <w:rPr>
          <w:rFonts w:ascii="Times New Roman" w:cs="Times New Roman" w:eastAsia="Times New Roman" w:hAnsi="Times New Roman"/>
        </w:rPr>
        <w:t xml:space="preserve"> (drawdown de 31,03 %) y el agente aleatorio perdió </w:t>
      </w:r>
      <w:r>
        <w:rPr>
          <w:rFonts w:ascii="Times New Roman" w:cs="Times New Roman" w:eastAsia="Times New Roman" w:hAnsi="Times New Roman"/>
          <w:b/>
          <w:bCs/>
        </w:rPr>
        <w:t xml:space="preserve">98,79 %</w:t>
      </w:r>
      <w:r>
        <w:rPr>
          <w:rFonts w:ascii="Times New Roman" w:cs="Times New Roman" w:eastAsia="Times New Roman" w:hAnsi="Times New Roman"/>
        </w:rPr>
        <w:t xml:space="preserve">, casi todo en comisiones. El agente aprendió a no operar de más, pero no aprendió cuándo entrar o salir del mercado.</w:t>
      </w:r>
    </w:p>
    <w:p>
      <w:pPr>
        <w:spacing w:after="140" w:line="300"/>
        <w:jc w:val="both"/>
      </w:pPr>
      <w:r>
        <w:rPr>
          <w:rFonts w:ascii="Times New Roman" w:cs="Times New Roman" w:eastAsia="Times New Roman" w:hAnsi="Times New Roman"/>
        </w:rPr>
        <w:t xml:space="preserve">Las causas principales fueron tres. Primero, en el periodo de entrenamiento el precio casi no tuvo tendencia, así que la recompensa era casi puro ruido. Segundo, el mercado cambió mucho entre periodos (no estacionariedad): la validación fue un alza fuerte que favoreció a las versiones más expuestas. Tercero, la recompensa indujo conductas no deseadas. Sin penalización por rotación el agente cambiaba de posición cientos de veces. Con una penalización fuerte encontró que la forma más fácil de cobrarla era quedarse en efectivo (</w:t>
      </w:r>
      <w:r>
        <w:rPr>
          <w:rFonts w:ascii="Times New Roman" w:cs="Times New Roman" w:eastAsia="Times New Roman" w:hAnsi="Times New Roman"/>
          <w:i/>
          <w:iCs/>
        </w:rPr>
        <w:t xml:space="preserve">reward hacking</w:t>
      </w:r>
      <w:r>
        <w:rPr>
          <w:rFonts w:ascii="Times New Roman" w:cs="Times New Roman" w:eastAsia="Times New Roman" w:hAnsi="Times New Roman"/>
        </w:rPr>
        <w:t xml:space="preserve">).</w:t>
      </w:r>
    </w:p>
    <w:p>
      <w:r>
        <w:br w:type="page"/>
      </w:r>
    </w:p>
    <w:p>
      <w:pPr>
        <w:pStyle w:val="Heading1"/>
        <w:keepNext/>
      </w:pPr>
      <w:r>
        <w:rPr>
          <w:rFonts w:ascii="Times New Roman" w:cs="Times New Roman" w:eastAsia="Times New Roman" w:hAnsi="Times New Roman"/>
        </w:rPr>
        <w:t xml:space="preserve">1. Introducción</w:t>
      </w:r>
    </w:p>
    <w:p>
      <w:pPr>
        <w:spacing w:after="140" w:line="300"/>
        <w:jc w:val="both"/>
      </w:pPr>
      <w:r>
        <w:rPr>
          <w:rFonts w:ascii="Times New Roman" w:cs="Times New Roman" w:eastAsia="Times New Roman" w:hAnsi="Times New Roman"/>
        </w:rPr>
        <w:t xml:space="preserve">Los mercados financieros presentan desafíos relacionados con la variabilidad de los precios, la incertidumbre y la necesidad de tomar decisiones a partir de información histórica y condiciones cambiantes. El precio de Bitcoin, en particular, tiene movimientos grandes y frecuentes, lo que hace interesante estudiar estrategias que permitan tomar decisiones de inversión de manera sistemática.</w:t>
      </w:r>
    </w:p>
    <w:p>
      <w:pPr>
        <w:spacing w:after="140" w:line="300"/>
        <w:jc w:val="both"/>
      </w:pPr>
      <w:r>
        <w:rPr>
          <w:rFonts w:ascii="Times New Roman" w:cs="Times New Roman" w:eastAsia="Times New Roman" w:hAnsi="Times New Roman"/>
        </w:rPr>
        <w:t xml:space="preserve">El aprendizaje por refuerzo (</w:t>
      </w:r>
      <w:r>
        <w:rPr>
          <w:rFonts w:ascii="Times New Roman" w:cs="Times New Roman" w:eastAsia="Times New Roman" w:hAnsi="Times New Roman"/>
          <w:i/>
          <w:iCs/>
        </w:rPr>
        <w:t xml:space="preserve">reinforcement learning</w:t>
      </w:r>
      <w:r>
        <w:rPr>
          <w:rFonts w:ascii="Times New Roman" w:cs="Times New Roman" w:eastAsia="Times New Roman" w:hAnsi="Times New Roman"/>
        </w:rPr>
        <w:t xml:space="preserve">) es un enfoque en el que un agente interactúa con un entorno, ejecuta acciones y recibe recompensas que orientan su aprendizaje (Sutton y Barto, 2018). Una decisión de inversión encaja en ese esquema: el inversionista observa el mercado, decide cuánto capital exponer, el precio cambia, la inversión gana o pierde y vuelve a decidir.</w:t>
      </w:r>
    </w:p>
    <w:p>
      <w:pPr>
        <w:spacing w:after="140" w:line="300"/>
        <w:jc w:val="both"/>
      </w:pPr>
      <w:r>
        <w:rPr>
          <w:rFonts w:ascii="Times New Roman" w:cs="Times New Roman" w:eastAsia="Times New Roman" w:hAnsi="Times New Roman"/>
        </w:rPr>
        <w:t xml:space="preserve">Este proyecto desarrolla un agente inversor para el par BTC/USD con el algoritmo Deep Q-Network (DQN). Con datos históricos horarios se hace un análisis exploratorio, se construyen variables que describen el mercado reciente y se diseña un entorno simulado de inversión con costos de transacción. En cada hora el agente decide qué fracción del capital mantener en Bitcoin: 0 %, 50 % o 100 %.</w:t>
      </w:r>
    </w:p>
    <w:p>
      <w:pPr>
        <w:spacing w:after="140" w:line="300"/>
        <w:jc w:val="both"/>
      </w:pPr>
      <w:r>
        <w:rPr>
          <w:rFonts w:ascii="Times New Roman" w:cs="Times New Roman" w:eastAsia="Times New Roman" w:hAnsi="Times New Roman"/>
        </w:rPr>
        <w:t xml:space="preserve">El agente se evalúa en un periodo posterior al entrenamiento, que nunca vio, y se compara con estrategias simples considerando el retorno, el riesgo y los costos. El objetivo no es obtener el mayor retorno histórico, sino saber, con una evaluación disciplinada, si el agente aporta algo frente a esas estrategias.</w:t>
      </w:r>
    </w:p>
    <w:p>
      <w:pPr>
        <w:pStyle w:val="Heading1"/>
        <w:keepNext/>
      </w:pPr>
      <w:r>
        <w:rPr>
          <w:rFonts w:ascii="Times New Roman" w:cs="Times New Roman" w:eastAsia="Times New Roman" w:hAnsi="Times New Roman"/>
        </w:rPr>
        <w:t xml:space="preserve">2. Planteamiento del problema</w:t>
      </w:r>
    </w:p>
    <w:p>
      <w:pPr>
        <w:pStyle w:val="Heading2"/>
        <w:keepNext/>
      </w:pPr>
      <w:r>
        <w:rPr>
          <w:rFonts w:ascii="Times New Roman" w:cs="Times New Roman" w:eastAsia="Times New Roman" w:hAnsi="Times New Roman"/>
        </w:rPr>
        <w:t xml:space="preserve">2.1. Descripción del problema</w:t>
      </w:r>
    </w:p>
    <w:p>
      <w:pPr>
        <w:spacing w:after="140" w:line="300"/>
        <w:jc w:val="both"/>
      </w:pPr>
      <w:r>
        <w:rPr>
          <w:rFonts w:ascii="Times New Roman" w:cs="Times New Roman" w:eastAsia="Times New Roman" w:hAnsi="Times New Roman"/>
        </w:rPr>
        <w:t xml:space="preserve">El mercado de Bitcoin presenta fluctuaciones de precio y cambios en sus niveles de volatilidad que dificultan definir estrategias de inversión consistentes. La decisión de cuánto capital mantener invertido requiere interpretar información del mercado y considerar tanto las oportunidades de ganancia como las posibles pérdidas y los costos de operar.</w:t>
      </w:r>
    </w:p>
    <w:p>
      <w:pPr>
        <w:spacing w:after="140" w:line="300"/>
        <w:jc w:val="both"/>
      </w:pPr>
      <w:r>
        <w:rPr>
          <w:rFonts w:ascii="Times New Roman" w:cs="Times New Roman" w:eastAsia="Times New Roman" w:hAnsi="Times New Roman"/>
        </w:rPr>
        <w:t xml:space="preserve">Las estrategias basadas en reglas fijas pueden no adaptarse a las diferentes condiciones del mercado. Además, observar precios históricos no garantiza encontrar una estrategia que funcione en periodos futuros. Por esta razón se estudia si un agente de aprendizaje por refuerzo puede aprender una política de decisión a partir de la interacción con un entorno simulado construido con datos históricos de BTC/USD.</w:t>
      </w:r>
    </w:p>
    <w:p>
      <w:pPr>
        <w:pStyle w:val="Heading2"/>
        <w:keepNext/>
      </w:pPr>
      <w:r>
        <w:rPr>
          <w:rFonts w:ascii="Times New Roman" w:cs="Times New Roman" w:eastAsia="Times New Roman" w:hAnsi="Times New Roman"/>
        </w:rPr>
        <w:t xml:space="preserve">2.2. Pregunta de investigación</w:t>
      </w:r>
    </w:p>
    <w:p>
      <w:pPr>
        <w:spacing w:after="140" w:line="300"/>
        <w:jc w:val="both"/>
      </w:pPr>
      <w:r>
        <w:rPr>
          <w:rFonts w:ascii="Times New Roman" w:cs="Times New Roman" w:eastAsia="Times New Roman" w:hAnsi="Times New Roman"/>
        </w:rPr>
        <w:t xml:space="preserve">¿En qué medida un agente de aprendizaje por refuerzo basado en Deep Q-Network (DQN), entrenado con datos históricos horarios del par BTC/USD, puede aprender una estrategia de inversión cuyo desempeño sea competitivo frente a estrategias de referencia, al evaluarse sobre un periodo temporal independiente del entrenamiento?</w:t>
      </w:r>
    </w:p>
    <w:p>
      <w:pPr>
        <w:pStyle w:val="Heading2"/>
        <w:keepNext/>
      </w:pPr>
      <w:r>
        <w:rPr>
          <w:rFonts w:ascii="Times New Roman" w:cs="Times New Roman" w:eastAsia="Times New Roman" w:hAnsi="Times New Roman"/>
        </w:rPr>
        <w:t xml:space="preserve">2.3. Solución propuesta</w:t>
      </w:r>
    </w:p>
    <w:p>
      <w:pPr>
        <w:spacing w:after="140" w:line="300"/>
        <w:jc w:val="both"/>
      </w:pPr>
      <w:r>
        <w:rPr>
          <w:rFonts w:ascii="Times New Roman" w:cs="Times New Roman" w:eastAsia="Times New Roman" w:hAnsi="Times New Roman"/>
        </w:rPr>
        <w:t xml:space="preserve">Se propone un agente DQN que aprende una política de exposición al mercado mediante la interacción con un entorno simulado. La solución tiene estas etapas:</w:t>
      </w:r>
    </w:p>
    <w:p>
      <w:pPr>
        <w:pStyle w:val="ListParagraph"/>
        <w:numPr>
          <w:ilvl w:val="0"/>
          <w:numId w:val="2"/>
        </w:numPr>
        <w:spacing w:after="80" w:line="290"/>
        <w:jc w:val="both"/>
      </w:pPr>
      <w:r>
        <w:rPr>
          <w:rFonts w:ascii="Times New Roman" w:cs="Times New Roman" w:eastAsia="Times New Roman" w:hAnsi="Times New Roman"/>
        </w:rPr>
        <w:t xml:space="preserve">Análisis exploratorio y preparación de los datos históricos de BTC/USD.</w:t>
      </w:r>
    </w:p>
    <w:p>
      <w:pPr>
        <w:pStyle w:val="ListParagraph"/>
        <w:numPr>
          <w:ilvl w:val="0"/>
          <w:numId w:val="2"/>
        </w:numPr>
        <w:spacing w:after="80" w:line="290"/>
        <w:jc w:val="both"/>
      </w:pPr>
      <w:r>
        <w:rPr>
          <w:rFonts w:ascii="Times New Roman" w:cs="Times New Roman" w:eastAsia="Times New Roman" w:hAnsi="Times New Roman"/>
        </w:rPr>
        <w:t xml:space="preserve">Selección y construcción de variables para representar el estado del mercado.</w:t>
      </w:r>
    </w:p>
    <w:p>
      <w:pPr>
        <w:pStyle w:val="ListParagraph"/>
        <w:numPr>
          <w:ilvl w:val="0"/>
          <w:numId w:val="2"/>
        </w:numPr>
        <w:spacing w:after="80" w:line="290"/>
        <w:jc w:val="both"/>
      </w:pPr>
      <w:r>
        <w:rPr>
          <w:rFonts w:ascii="Times New Roman" w:cs="Times New Roman" w:eastAsia="Times New Roman" w:hAnsi="Times New Roman"/>
        </w:rPr>
        <w:t xml:space="preserve">Diseño e implementación de un entorno compatible con Gymnasium, con costos de transacción y sin información futura.</w:t>
      </w:r>
    </w:p>
    <w:p>
      <w:pPr>
        <w:pStyle w:val="ListParagraph"/>
        <w:numPr>
          <w:ilvl w:val="0"/>
          <w:numId w:val="2"/>
        </w:numPr>
        <w:spacing w:after="80" w:line="290"/>
        <w:jc w:val="both"/>
      </w:pPr>
      <w:r>
        <w:rPr>
          <w:rFonts w:ascii="Times New Roman" w:cs="Times New Roman" w:eastAsia="Times New Roman" w:hAnsi="Times New Roman"/>
        </w:rPr>
        <w:t xml:space="preserve">Definición del espacio de acciones (0 %, 50 % y 100 % en BTC) y de una primera función de recompensa.</w:t>
      </w:r>
    </w:p>
    <w:p>
      <w:pPr>
        <w:pStyle w:val="ListParagraph"/>
        <w:numPr>
          <w:ilvl w:val="0"/>
          <w:numId w:val="2"/>
        </w:numPr>
        <w:spacing w:after="80" w:line="290"/>
        <w:jc w:val="both"/>
      </w:pPr>
      <w:r>
        <w:rPr>
          <w:rFonts w:ascii="Times New Roman" w:cs="Times New Roman" w:eastAsia="Times New Roman" w:hAnsi="Times New Roman"/>
        </w:rPr>
        <w:t xml:space="preserve">Entrenamiento del agente con DQN y observación de su comportamiento.</w:t>
      </w:r>
    </w:p>
    <w:p>
      <w:pPr>
        <w:pStyle w:val="ListParagraph"/>
        <w:numPr>
          <w:ilvl w:val="0"/>
          <w:numId w:val="2"/>
        </w:numPr>
        <w:spacing w:after="80" w:line="290"/>
        <w:jc w:val="both"/>
      </w:pPr>
      <w:r>
        <w:rPr>
          <w:rFonts w:ascii="Times New Roman" w:cs="Times New Roman" w:eastAsia="Times New Roman" w:hAnsi="Times New Roman"/>
        </w:rPr>
        <w:t xml:space="preserve">Iteración de la recompensa: identificar problemas, modificarla, reentrenar y comparar.</w:t>
      </w:r>
    </w:p>
    <w:p>
      <w:pPr>
        <w:pStyle w:val="ListParagraph"/>
        <w:numPr>
          <w:ilvl w:val="0"/>
          <w:numId w:val="2"/>
        </w:numPr>
        <w:spacing w:after="80" w:line="290"/>
        <w:jc w:val="both"/>
      </w:pPr>
      <w:r>
        <w:rPr>
          <w:rFonts w:ascii="Times New Roman" w:cs="Times New Roman" w:eastAsia="Times New Roman" w:hAnsi="Times New Roman"/>
        </w:rPr>
        <w:t xml:space="preserve">Selección de la versión final en un periodo de validación y evaluación única en un periodo no visto.</w:t>
      </w:r>
    </w:p>
    <w:p>
      <w:pPr>
        <w:pStyle w:val="ListParagraph"/>
        <w:numPr>
          <w:ilvl w:val="0"/>
          <w:numId w:val="2"/>
        </w:numPr>
        <w:spacing w:after="80" w:line="290"/>
        <w:jc w:val="both"/>
      </w:pPr>
      <w:r>
        <w:rPr>
          <w:rFonts w:ascii="Times New Roman" w:cs="Times New Roman" w:eastAsia="Times New Roman" w:hAnsi="Times New Roman"/>
        </w:rPr>
        <w:t xml:space="preserve">Comparación con comprar y mantener y con un agente aleatorio, bajo las mismas condiciones.</w:t>
      </w:r>
    </w:p>
    <w:p>
      <w:pPr>
        <w:pStyle w:val="ListParagraph"/>
        <w:numPr>
          <w:ilvl w:val="0"/>
          <w:numId w:val="2"/>
        </w:numPr>
        <w:spacing w:after="80" w:line="290"/>
        <w:jc w:val="both"/>
      </w:pPr>
      <w:r>
        <w:rPr>
          <w:rFonts w:ascii="Times New Roman" w:cs="Times New Roman" w:eastAsia="Times New Roman" w:hAnsi="Times New Roman"/>
        </w:rPr>
        <w:t xml:space="preserve">Análisis de resultados, comportamientos inesperados y limitaciones.</w:t>
      </w:r>
    </w:p>
    <w:p>
      <w:pPr>
        <w:spacing w:after="140" w:line="300"/>
        <w:jc w:val="both"/>
      </w:pPr>
      <w:r>
        <w:rPr>
          <w:rFonts w:ascii="Times New Roman" w:cs="Times New Roman" w:eastAsia="Times New Roman" w:hAnsi="Times New Roman"/>
        </w:rPr>
        <w:t xml:space="preserve">No se presupone que el agente vaya a generar ganancias. Eso se establece con la evaluación.</w:t>
      </w:r>
    </w:p>
    <w:p>
      <w:pPr>
        <w:pStyle w:val="Heading1"/>
        <w:keepNext/>
      </w:pPr>
      <w:r>
        <w:rPr>
          <w:rFonts w:ascii="Times New Roman" w:cs="Times New Roman" w:eastAsia="Times New Roman" w:hAnsi="Times New Roman"/>
        </w:rPr>
        <w:t xml:space="preserve">3. Objetivos</w:t>
      </w:r>
    </w:p>
    <w:p>
      <w:pPr>
        <w:pStyle w:val="Heading2"/>
        <w:keepNext/>
      </w:pPr>
      <w:r>
        <w:rPr>
          <w:rFonts w:ascii="Times New Roman" w:cs="Times New Roman" w:eastAsia="Times New Roman" w:hAnsi="Times New Roman"/>
        </w:rPr>
        <w:t xml:space="preserve">3.1. Objetivo general</w:t>
      </w:r>
    </w:p>
    <w:p>
      <w:pPr>
        <w:spacing w:after="140" w:line="300"/>
        <w:jc w:val="both"/>
      </w:pPr>
      <w:r>
        <w:rPr>
          <w:rFonts w:ascii="Times New Roman" w:cs="Times New Roman" w:eastAsia="Times New Roman" w:hAnsi="Times New Roman"/>
        </w:rPr>
        <w:t xml:space="preserve">Desarrollar y evaluar un agente de inversión basado en DQN que aprenda una estrategia de exposición a BTC/USD con datos históricos, y comparar su desempeño con estrategias de referencia en un periodo de evaluación independiente del entrenamiento.</w:t>
      </w:r>
    </w:p>
    <w:p>
      <w:pPr>
        <w:pStyle w:val="Heading2"/>
        <w:keepNext/>
      </w:pPr>
      <w:r>
        <w:rPr>
          <w:rFonts w:ascii="Times New Roman" w:cs="Times New Roman" w:eastAsia="Times New Roman" w:hAnsi="Times New Roman"/>
        </w:rPr>
        <w:t xml:space="preserve">3.2. Objetivos específicos</w:t>
      </w:r>
    </w:p>
    <w:p>
      <w:pPr>
        <w:pStyle w:val="ListParagraph"/>
        <w:numPr>
          <w:ilvl w:val="0"/>
          <w:numId w:val="3"/>
        </w:numPr>
        <w:spacing w:after="80" w:line="290"/>
        <w:jc w:val="both"/>
      </w:pPr>
      <w:r>
        <w:rPr>
          <w:rFonts w:ascii="Times New Roman" w:cs="Times New Roman" w:eastAsia="Times New Roman" w:hAnsi="Times New Roman"/>
          <w:b/>
          <w:bCs/>
        </w:rPr>
        <w:t xml:space="preserve">Analizar y preparar los datos históricos:</w:t>
      </w:r>
      <w:r>
        <w:rPr>
          <w:rFonts w:ascii="Times New Roman" w:cs="Times New Roman" w:eastAsia="Times New Roman" w:hAnsi="Times New Roman"/>
        </w:rPr>
        <w:t xml:space="preserve"> identificar tendencias, retornos, volatilidad y problemas de calidad de la serie BTC/USD.</w:t>
      </w:r>
    </w:p>
    <w:p>
      <w:pPr>
        <w:pStyle w:val="ListParagraph"/>
        <w:numPr>
          <w:ilvl w:val="0"/>
          <w:numId w:val="3"/>
        </w:numPr>
        <w:spacing w:after="80" w:line="290"/>
        <w:jc w:val="both"/>
      </w:pPr>
      <w:r>
        <w:rPr>
          <w:rFonts w:ascii="Times New Roman" w:cs="Times New Roman" w:eastAsia="Times New Roman" w:hAnsi="Times New Roman"/>
          <w:b/>
          <w:bCs/>
        </w:rPr>
        <w:t xml:space="preserve">Diseñar el entorno de inversión:</w:t>
      </w:r>
      <w:r>
        <w:rPr>
          <w:rFonts w:ascii="Times New Roman" w:cs="Times New Roman" w:eastAsia="Times New Roman" w:hAnsi="Times New Roman"/>
        </w:rPr>
        <w:t xml:space="preserve"> construir un entorno compatible con Gymnasium con estados, acciones, costos y recompensa definidos, que no use información futura.</w:t>
      </w:r>
    </w:p>
    <w:p>
      <w:pPr>
        <w:pStyle w:val="ListParagraph"/>
        <w:numPr>
          <w:ilvl w:val="0"/>
          <w:numId w:val="3"/>
        </w:numPr>
        <w:spacing w:after="80" w:line="290"/>
        <w:jc w:val="both"/>
      </w:pPr>
      <w:r>
        <w:rPr>
          <w:rFonts w:ascii="Times New Roman" w:cs="Times New Roman" w:eastAsia="Times New Roman" w:hAnsi="Times New Roman"/>
          <w:b/>
          <w:bCs/>
        </w:rPr>
        <w:t xml:space="preserve">Diseñar e iterar la función de recompensa:</w:t>
      </w:r>
      <w:r>
        <w:rPr>
          <w:rFonts w:ascii="Times New Roman" w:cs="Times New Roman" w:eastAsia="Times New Roman" w:hAnsi="Times New Roman"/>
        </w:rPr>
        <w:t xml:space="preserve"> comparar al menos dos alternativas y analizar el comportamiento que inducen en el agente.</w:t>
      </w:r>
    </w:p>
    <w:p>
      <w:pPr>
        <w:pStyle w:val="ListParagraph"/>
        <w:numPr>
          <w:ilvl w:val="0"/>
          <w:numId w:val="3"/>
        </w:numPr>
        <w:spacing w:after="80" w:line="290"/>
        <w:jc w:val="both"/>
      </w:pPr>
      <w:r>
        <w:rPr>
          <w:rFonts w:ascii="Times New Roman" w:cs="Times New Roman" w:eastAsia="Times New Roman" w:hAnsi="Times New Roman"/>
          <w:b/>
          <w:bCs/>
        </w:rPr>
        <w:t xml:space="preserve">Implementar y entrenar el agente:</w:t>
      </w:r>
      <w:r>
        <w:rPr>
          <w:rFonts w:ascii="Times New Roman" w:cs="Times New Roman" w:eastAsia="Times New Roman" w:hAnsi="Times New Roman"/>
        </w:rPr>
        <w:t xml:space="preserve"> entrenar un DQN con semillas fijas y una configuración documentada.</w:t>
      </w:r>
    </w:p>
    <w:p>
      <w:pPr>
        <w:pStyle w:val="ListParagraph"/>
        <w:numPr>
          <w:ilvl w:val="0"/>
          <w:numId w:val="3"/>
        </w:numPr>
        <w:spacing w:after="80" w:line="290"/>
        <w:jc w:val="both"/>
      </w:pPr>
      <w:r>
        <w:rPr>
          <w:rFonts w:ascii="Times New Roman" w:cs="Times New Roman" w:eastAsia="Times New Roman" w:hAnsi="Times New Roman"/>
          <w:b/>
          <w:bCs/>
        </w:rPr>
        <w:t xml:space="preserve">Evaluar en datos no vistos:</w:t>
      </w:r>
      <w:r>
        <w:rPr>
          <w:rFonts w:ascii="Times New Roman" w:cs="Times New Roman" w:eastAsia="Times New Roman" w:hAnsi="Times New Roman"/>
        </w:rPr>
        <w:t xml:space="preserve"> medir retorno acumulado, máximo drawdown y costos en un periodo reservado, sin reajustar nada con él.</w:t>
      </w:r>
    </w:p>
    <w:p>
      <w:pPr>
        <w:pStyle w:val="ListParagraph"/>
        <w:numPr>
          <w:ilvl w:val="0"/>
          <w:numId w:val="3"/>
        </w:numPr>
        <w:spacing w:after="80" w:line="290"/>
        <w:jc w:val="both"/>
      </w:pPr>
      <w:r>
        <w:rPr>
          <w:rFonts w:ascii="Times New Roman" w:cs="Times New Roman" w:eastAsia="Times New Roman" w:hAnsi="Times New Roman"/>
          <w:b/>
          <w:bCs/>
        </w:rPr>
        <w:t xml:space="preserve">Comparar con estrategias de referencia:</w:t>
      </w:r>
      <w:r>
        <w:rPr>
          <w:rFonts w:ascii="Times New Roman" w:cs="Times New Roman" w:eastAsia="Times New Roman" w:hAnsi="Times New Roman"/>
        </w:rPr>
        <w:t xml:space="preserve"> comprar y mantener y agente aleatorio, bajo condiciones iguales.</w:t>
      </w:r>
    </w:p>
    <w:p>
      <w:pPr>
        <w:pStyle w:val="ListParagraph"/>
        <w:numPr>
          <w:ilvl w:val="0"/>
          <w:numId w:val="3"/>
        </w:numPr>
        <w:spacing w:after="80" w:line="290"/>
        <w:jc w:val="both"/>
      </w:pPr>
      <w:r>
        <w:rPr>
          <w:rFonts w:ascii="Times New Roman" w:cs="Times New Roman" w:eastAsia="Times New Roman" w:hAnsi="Times New Roman"/>
          <w:b/>
          <w:bCs/>
        </w:rPr>
        <w:t xml:space="preserve">Analizar resultados y limitaciones:</w:t>
      </w:r>
      <w:r>
        <w:rPr>
          <w:rFonts w:ascii="Times New Roman" w:cs="Times New Roman" w:eastAsia="Times New Roman" w:hAnsi="Times New Roman"/>
        </w:rPr>
        <w:t xml:space="preserve"> interpretar el comportamiento del agente y discutir limitaciones, </w:t>
      </w:r>
      <w:r>
        <w:rPr>
          <w:rFonts w:ascii="Times New Roman" w:cs="Times New Roman" w:eastAsia="Times New Roman" w:hAnsi="Times New Roman"/>
          <w:i/>
          <w:iCs/>
        </w:rPr>
        <w:t xml:space="preserve">reward hacking</w:t>
      </w:r>
      <w:r>
        <w:rPr>
          <w:rFonts w:ascii="Times New Roman" w:cs="Times New Roman" w:eastAsia="Times New Roman" w:hAnsi="Times New Roman"/>
        </w:rPr>
        <w:t xml:space="preserve"> y no estacionariedad.</w:t>
      </w:r>
    </w:p>
    <w:p>
      <w:pPr>
        <w:pStyle w:val="Heading1"/>
        <w:keepNext/>
      </w:pPr>
      <w:r>
        <w:rPr>
          <w:rFonts w:ascii="Times New Roman" w:cs="Times New Roman" w:eastAsia="Times New Roman" w:hAnsi="Times New Roman"/>
        </w:rPr>
        <w:t xml:space="preserve">4. Formulación del problema como aprendizaje por refuerzo</w:t>
      </w:r>
    </w:p>
    <w:p>
      <w:pPr>
        <w:spacing w:after="140" w:line="300"/>
        <w:jc w:val="both"/>
      </w:pPr>
      <w:r>
        <w:rPr>
          <w:rFonts w:ascii="Times New Roman" w:cs="Times New Roman" w:eastAsia="Times New Roman" w:hAnsi="Times New Roman"/>
        </w:rPr>
        <w:t xml:space="preserve">En cada hora </w:t>
      </w:r>
      <w:r>
        <w:rPr>
          <w:rFonts w:ascii="Times New Roman" w:cs="Times New Roman" w:eastAsia="Times New Roman" w:hAnsi="Times New Roman"/>
          <w:i/>
          <w:iCs/>
        </w:rPr>
        <w:t xml:space="preserve">t</w:t>
      </w:r>
      <w:r>
        <w:rPr>
          <w:rFonts w:ascii="Times New Roman" w:cs="Times New Roman" w:eastAsia="Times New Roman" w:hAnsi="Times New Roman"/>
        </w:rPr>
        <w:t xml:space="preserve"> el agente: (1) recibe una observación del mercado; (2) elige una exposición; (3) el precio evoluciona; (4) cambia el valor de la inversión; (5) paga los costos; (6) recibe una recompensa; y (7) pasa a la siguiente observación. Formalmente, S</w:t>
      </w:r>
      <w:r>
        <w:rPr>
          <w:rFonts w:ascii="Times New Roman" w:cs="Times New Roman" w:eastAsia="Times New Roman" w:hAnsi="Times New Roman"/>
          <w:vertAlign w:val="subscript"/>
        </w:rPr>
        <w:t xml:space="preserve">t</w:t>
      </w:r>
      <w:r>
        <w:rPr>
          <w:rFonts w:ascii="Times New Roman" w:cs="Times New Roman" w:eastAsia="Times New Roman" w:hAnsi="Times New Roman"/>
        </w:rPr>
        <w:t xml:space="preserve"> → A</w:t>
      </w:r>
      <w:r>
        <w:rPr>
          <w:rFonts w:ascii="Times New Roman" w:cs="Times New Roman" w:eastAsia="Times New Roman" w:hAnsi="Times New Roman"/>
          <w:vertAlign w:val="subscript"/>
        </w:rPr>
        <w:t xml:space="preserve">t</w:t>
      </w:r>
      <w:r>
        <w:rPr>
          <w:rFonts w:ascii="Times New Roman" w:cs="Times New Roman" w:eastAsia="Times New Roman" w:hAnsi="Times New Roman"/>
        </w:rPr>
        <w:t xml:space="preserve"> → R</w:t>
      </w:r>
      <w:r>
        <w:rPr>
          <w:rFonts w:ascii="Times New Roman" w:cs="Times New Roman" w:eastAsia="Times New Roman" w:hAnsi="Times New Roman"/>
          <w:vertAlign w:val="subscript"/>
        </w:rPr>
        <w:t xml:space="preserve">t+1</w:t>
      </w:r>
      <w:r>
        <w:rPr>
          <w:rFonts w:ascii="Times New Roman" w:cs="Times New Roman" w:eastAsia="Times New Roman" w:hAnsi="Times New Roman"/>
        </w:rPr>
        <w:t xml:space="preserve">, S</w:t>
      </w:r>
      <w:r>
        <w:rPr>
          <w:rFonts w:ascii="Times New Roman" w:cs="Times New Roman" w:eastAsia="Times New Roman" w:hAnsi="Times New Roman"/>
          <w:vertAlign w:val="subscript"/>
        </w:rPr>
        <w:t xml:space="preserve">t+1</w:t>
      </w:r>
      <w:r>
        <w:rPr>
          <w:rFonts w:ascii="Times New Roman" w:cs="Times New Roman" w:eastAsia="Times New Roman" w:hAnsi="Times New Roman"/>
        </w:rPr>
        <w:t xml:space="preserve"> (Sutton y Barto, 2018). La política π(a|s) indica qué acción tomar en cada estado. Con DQN la política aprendida es elegir, en cada estado, la acción con mayor valor Q estimado.</w:t>
      </w:r>
    </w:p>
    <w:p>
      <w:pPr>
        <w:pStyle w:val="Heading2"/>
        <w:keepNext/>
      </w:pPr>
      <w:r>
        <w:rPr>
          <w:rFonts w:ascii="Times New Roman" w:cs="Times New Roman" w:eastAsia="Times New Roman" w:hAnsi="Times New Roman"/>
        </w:rPr>
        <w:t xml:space="preserve">4.1. Estado: qué observa el agente</w:t>
      </w:r>
    </w:p>
    <w:p>
      <w:pPr>
        <w:spacing w:after="140" w:line="300"/>
        <w:jc w:val="both"/>
      </w:pPr>
      <w:r>
        <w:rPr>
          <w:rFonts w:ascii="Times New Roman" w:cs="Times New Roman" w:eastAsia="Times New Roman" w:hAnsi="Times New Roman"/>
        </w:rPr>
        <w:t xml:space="preserve">El estado es un vector de cuatro números que el agente recibe al cierre de cada hora:</w:t>
      </w:r>
    </w:p>
    <w:p>
      <w:pPr>
        <w:keepNext/>
        <w:spacing w:after="40" w:before="160"/>
      </w:pPr>
      <w:r>
        <w:rPr>
          <w:rFonts w:ascii="Times New Roman" w:cs="Times New Roman" w:eastAsia="Times New Roman" w:hAnsi="Times New Roman"/>
          <w:b/>
          <w:bCs/>
        </w:rPr>
        <w:t xml:space="preserve">Tabla 1</w:t>
      </w:r>
    </w:p>
    <w:p>
      <w:pPr>
        <w:keepNext/>
        <w:spacing w:after="100"/>
      </w:pPr>
      <w:r>
        <w:rPr>
          <w:rFonts w:ascii="Times New Roman" w:cs="Times New Roman" w:eastAsia="Times New Roman" w:hAnsi="Times New Roman"/>
          <w:i/>
          <w:iCs/>
        </w:rPr>
        <w:t xml:space="preserve">Variables del estado</w:t>
      </w:r>
    </w:p>
    <w:tbl>
      <w:tblPr>
        <w:tblW w:type="dxa" w:w="8838"/>
        <w:tblBorders>
          <w:top w:val="single" w:color="auto" w:sz="4"/>
          <w:left w:val="single" w:color="auto" w:sz="4"/>
          <w:bottom w:val="single" w:color="auto" w:sz="4"/>
          <w:right w:val="single" w:color="auto" w:sz="4"/>
          <w:insideH w:val="single" w:color="auto" w:sz="4"/>
          <w:insideV w:val="single" w:color="auto" w:sz="4"/>
        </w:tblBorders>
      </w:tblPr>
      <w:tblGrid>
        <w:gridCol w:w="1650"/>
        <w:gridCol w:w="2150"/>
        <w:gridCol w:w="1150"/>
        <w:gridCol w:w="3888"/>
      </w:tblGrid>
      <w:tr>
        <w:trPr>
          <w:tblHeader/>
        </w:trPr>
        <w:tc>
          <w:tcPr>
            <w:tcW w:type="dxa" w:w="1650"/>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18"/>
                <w:szCs w:val="18"/>
              </w:rPr>
              <w:t xml:space="preserve">Variable</w:t>
            </w:r>
          </w:p>
        </w:tc>
        <w:tc>
          <w:tcPr>
            <w:tcW w:type="dxa" w:w="2150"/>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18"/>
                <w:szCs w:val="18"/>
              </w:rPr>
              <w:t xml:space="preserve">Cálculo</w:t>
            </w:r>
          </w:p>
        </w:tc>
        <w:tc>
          <w:tcPr>
            <w:tcW w:type="dxa" w:w="1150"/>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18"/>
                <w:szCs w:val="18"/>
              </w:rPr>
              <w:t xml:space="preserve">Ventana</w:t>
            </w:r>
          </w:p>
        </w:tc>
        <w:tc>
          <w:tcPr>
            <w:tcW w:type="dxa" w:w="3888"/>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18"/>
                <w:szCs w:val="18"/>
              </w:rPr>
              <w:t xml:space="preserve">Por qué puede servir para decidir</w:t>
            </w:r>
          </w:p>
        </w:tc>
      </w:tr>
      <w:tr>
        <w:trPr>
          <w:cantSplit/>
        </w:trPr>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left"/>
            </w:pPr>
            <w:r>
              <w:rPr>
                <w:rFonts w:ascii="Consolas" w:cs="Consolas" w:eastAsia="Consolas" w:hAnsi="Consolas"/>
                <w:sz w:val="15"/>
                <w:szCs w:val="15"/>
              </w:rPr>
              <w:t xml:space="preserve">return_24h</w:t>
            </w:r>
          </w:p>
        </w:tc>
        <w:tc>
          <w:tcPr>
            <w:tcW w:type="dxa" w:w="21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18"/>
                <w:szCs w:val="18"/>
              </w:rPr>
              <w:t xml:space="preserve">P</w:t>
            </w:r>
            <w:r>
              <w:rPr>
                <w:rFonts w:ascii="Times New Roman" w:cs="Times New Roman" w:eastAsia="Times New Roman" w:hAnsi="Times New Roman"/>
                <w:b w:val="false"/>
                <w:bCs w:val="false"/>
                <w:sz w:val="18"/>
                <w:szCs w:val="18"/>
                <w:vertAlign w:val="subscript"/>
              </w:rPr>
              <w:t xml:space="preserve">t</w:t>
            </w:r>
            <w:r>
              <w:rPr>
                <w:rFonts w:ascii="Times New Roman" w:cs="Times New Roman" w:eastAsia="Times New Roman" w:hAnsi="Times New Roman"/>
                <w:b w:val="false"/>
                <w:bCs w:val="false"/>
                <w:sz w:val="18"/>
                <w:szCs w:val="18"/>
              </w:rPr>
              <w:t xml:space="preserve"> / P</w:t>
            </w:r>
            <w:r>
              <w:rPr>
                <w:rFonts w:ascii="Times New Roman" w:cs="Times New Roman" w:eastAsia="Times New Roman" w:hAnsi="Times New Roman"/>
                <w:b w:val="false"/>
                <w:bCs w:val="false"/>
                <w:sz w:val="18"/>
                <w:szCs w:val="18"/>
                <w:vertAlign w:val="subscript"/>
              </w:rPr>
              <w:t xml:space="preserve">t−24</w:t>
            </w:r>
            <w:r>
              <w:rPr>
                <w:rFonts w:ascii="Times New Roman" w:cs="Times New Roman" w:eastAsia="Times New Roman" w:hAnsi="Times New Roman"/>
                <w:b w:val="false"/>
                <w:bCs w:val="false"/>
                <w:sz w:val="18"/>
                <w:szCs w:val="18"/>
              </w:rPr>
              <w:t xml:space="preserve"> − 1</w:t>
            </w:r>
          </w:p>
        </w:tc>
        <w:tc>
          <w:tcPr>
            <w:tcW w:type="dxa" w:w="11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18"/>
                <w:szCs w:val="18"/>
              </w:rPr>
              <w:t xml:space="preserve">24 h hacia atrás</w:t>
            </w:r>
          </w:p>
        </w:tc>
        <w:tc>
          <w:tcPr>
            <w:tcW w:type="dxa" w:w="388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18"/>
                <w:szCs w:val="18"/>
              </w:rPr>
              <w:t xml:space="preserve">Resume la dirección reciente: si el precio viene subiendo o cayendo en el último día.</w:t>
            </w:r>
          </w:p>
        </w:tc>
      </w:tr>
      <w:tr>
        <w:trPr>
          <w:cantSplit/>
        </w:trPr>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left"/>
            </w:pPr>
            <w:r>
              <w:rPr>
                <w:rFonts w:ascii="Consolas" w:cs="Consolas" w:eastAsia="Consolas" w:hAnsi="Consolas"/>
                <w:sz w:val="15"/>
                <w:szCs w:val="15"/>
              </w:rPr>
              <w:t xml:space="preserve">price_vs_sma_24h</w:t>
            </w:r>
          </w:p>
        </w:tc>
        <w:tc>
          <w:tcPr>
            <w:tcW w:type="dxa" w:w="21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18"/>
                <w:szCs w:val="18"/>
              </w:rPr>
              <w:t xml:space="preserve">P</w:t>
            </w:r>
            <w:r>
              <w:rPr>
                <w:rFonts w:ascii="Times New Roman" w:cs="Times New Roman" w:eastAsia="Times New Roman" w:hAnsi="Times New Roman"/>
                <w:b w:val="false"/>
                <w:bCs w:val="false"/>
                <w:sz w:val="18"/>
                <w:szCs w:val="18"/>
                <w:vertAlign w:val="subscript"/>
              </w:rPr>
              <w:t xml:space="preserve">t</w:t>
            </w:r>
            <w:r>
              <w:rPr>
                <w:rFonts w:ascii="Times New Roman" w:cs="Times New Roman" w:eastAsia="Times New Roman" w:hAnsi="Times New Roman"/>
                <w:b w:val="false"/>
                <w:bCs w:val="false"/>
                <w:sz w:val="18"/>
                <w:szCs w:val="18"/>
              </w:rPr>
              <w:t xml:space="preserve"> / media(P</w:t>
            </w:r>
            <w:r>
              <w:rPr>
                <w:rFonts w:ascii="Times New Roman" w:cs="Times New Roman" w:eastAsia="Times New Roman" w:hAnsi="Times New Roman"/>
                <w:b w:val="false"/>
                <w:bCs w:val="false"/>
                <w:sz w:val="18"/>
                <w:szCs w:val="18"/>
                <w:vertAlign w:val="subscript"/>
              </w:rPr>
              <w:t xml:space="preserve">t−23</w:t>
            </w:r>
            <w:r>
              <w:rPr>
                <w:rFonts w:ascii="Times New Roman" w:cs="Times New Roman" w:eastAsia="Times New Roman" w:hAnsi="Times New Roman"/>
                <w:b w:val="false"/>
                <w:bCs w:val="false"/>
                <w:sz w:val="18"/>
                <w:szCs w:val="18"/>
              </w:rPr>
              <w:t xml:space="preserve"> … P</w:t>
            </w:r>
            <w:r>
              <w:rPr>
                <w:rFonts w:ascii="Times New Roman" w:cs="Times New Roman" w:eastAsia="Times New Roman" w:hAnsi="Times New Roman"/>
                <w:b w:val="false"/>
                <w:bCs w:val="false"/>
                <w:sz w:val="18"/>
                <w:szCs w:val="18"/>
                <w:vertAlign w:val="subscript"/>
              </w:rPr>
              <w:t xml:space="preserve">t</w:t>
            </w:r>
            <w:r>
              <w:rPr>
                <w:rFonts w:ascii="Times New Roman" w:cs="Times New Roman" w:eastAsia="Times New Roman" w:hAnsi="Times New Roman"/>
                <w:b w:val="false"/>
                <w:bCs w:val="false"/>
                <w:sz w:val="18"/>
                <w:szCs w:val="18"/>
              </w:rPr>
              <w:t xml:space="preserve">) − 1</w:t>
            </w:r>
          </w:p>
        </w:tc>
        <w:tc>
          <w:tcPr>
            <w:tcW w:type="dxa" w:w="11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18"/>
                <w:szCs w:val="18"/>
              </w:rPr>
              <w:t xml:space="preserve">24 h</w:t>
            </w:r>
          </w:p>
        </w:tc>
        <w:tc>
          <w:tcPr>
            <w:tcW w:type="dxa" w:w="388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18"/>
                <w:szCs w:val="18"/>
              </w:rPr>
              <w:t xml:space="preserve">Indica si el precio está por encima o por debajo de su nivel promedio reciente, es decir, qué tan lejos está de la tendencia corta.</w:t>
            </w:r>
          </w:p>
        </w:tc>
      </w:tr>
      <w:tr>
        <w:trPr>
          <w:cantSplit/>
        </w:trPr>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left"/>
            </w:pPr>
            <w:r>
              <w:rPr>
                <w:rFonts w:ascii="Consolas" w:cs="Consolas" w:eastAsia="Consolas" w:hAnsi="Consolas"/>
                <w:sz w:val="15"/>
                <w:szCs w:val="15"/>
              </w:rPr>
              <w:t xml:space="preserve">volatility_24h</w:t>
            </w:r>
          </w:p>
        </w:tc>
        <w:tc>
          <w:tcPr>
            <w:tcW w:type="dxa" w:w="21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18"/>
                <w:szCs w:val="18"/>
              </w:rPr>
              <w:t xml:space="preserve">Desviación estándar de los retornos horarios entre t−23 y t</w:t>
            </w:r>
          </w:p>
        </w:tc>
        <w:tc>
          <w:tcPr>
            <w:tcW w:type="dxa" w:w="11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18"/>
                <w:szCs w:val="18"/>
              </w:rPr>
              <w:t xml:space="preserve">24 h</w:t>
            </w:r>
          </w:p>
        </w:tc>
        <w:tc>
          <w:tcPr>
            <w:tcW w:type="dxa" w:w="388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18"/>
                <w:szCs w:val="18"/>
              </w:rPr>
              <w:t xml:space="preserve">Mide el riesgo reciente. En los datos la volatilidad se agrupa: cuando fue alta, la hora siguiente suele traer movimientos grandes (sección 5.8).</w:t>
            </w:r>
          </w:p>
        </w:tc>
      </w:tr>
      <w:tr>
        <w:trPr>
          <w:cantSplit/>
        </w:trPr>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18"/>
                <w:szCs w:val="18"/>
              </w:rPr>
              <w:t xml:space="preserve">Posición</w:t>
            </w:r>
          </w:p>
        </w:tc>
        <w:tc>
          <w:tcPr>
            <w:tcW w:type="dxa" w:w="21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18"/>
                <w:szCs w:val="18"/>
              </w:rPr>
              <w:t xml:space="preserve">Fracción del capital en BTC al cierre de t</w:t>
            </w:r>
          </w:p>
        </w:tc>
        <w:tc>
          <w:tcPr>
            <w:tcW w:type="dxa" w:w="11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18"/>
                <w:szCs w:val="18"/>
              </w:rPr>
              <w:t xml:space="preserve">—</w:t>
            </w:r>
          </w:p>
        </w:tc>
        <w:tc>
          <w:tcPr>
            <w:tcW w:type="dxa" w:w="388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18"/>
                <w:szCs w:val="18"/>
              </w:rPr>
              <w:t xml:space="preserve">El costo de decidir depende de dónde está el agente: cambiar de 0 % a 100 % cuesta y quedarse no. Sin esta variable el agente no sabe cuánto le cuesta cambiar.</w:t>
            </w:r>
          </w:p>
        </w:tc>
      </w:tr>
    </w:tbl>
    <w:p>
      <w:pPr>
        <w:spacing w:after="120"/>
      </w:pPr>
    </w:p>
    <w:p>
      <w:pPr>
        <w:spacing w:after="140" w:line="300"/>
        <w:jc w:val="both"/>
      </w:pPr>
      <w:r>
        <w:rPr>
          <w:rFonts w:ascii="Times New Roman" w:cs="Times New Roman" w:eastAsia="Times New Roman" w:hAnsi="Times New Roman"/>
          <w:b/>
          <w:bCs/>
        </w:rPr>
        <w:t xml:space="preserve">¿Qué periodo histórico usan los indicadores?</w:t>
      </w:r>
      <w:r>
        <w:rPr>
          <w:rFonts w:ascii="Times New Roman" w:cs="Times New Roman" w:eastAsia="Times New Roman" w:hAnsi="Times New Roman"/>
        </w:rPr>
        <w:t xml:space="preserve"> Las últimas 24 horas, incluida la hora </w:t>
      </w:r>
      <w:r>
        <w:rPr>
          <w:rFonts w:ascii="Times New Roman" w:cs="Times New Roman" w:eastAsia="Times New Roman" w:hAnsi="Times New Roman"/>
          <w:i/>
          <w:iCs/>
        </w:rPr>
        <w:t xml:space="preserve">t</w:t>
      </w:r>
      <w:r>
        <w:rPr>
          <w:rFonts w:ascii="Times New Roman" w:cs="Times New Roman" w:eastAsia="Times New Roman" w:hAnsi="Times New Roman"/>
        </w:rPr>
        <w:t xml:space="preserve">. Es una ventana corta que cubre un día completo y que se recalcula cada hora. También se calculó la volatilidad de 168 horas (una semana), pero se dejó fuera para mantener el estado simple y no perder la primera semana de datos.</w:t>
      </w:r>
    </w:p>
    <w:p>
      <w:pPr>
        <w:spacing w:after="140" w:line="300"/>
        <w:jc w:val="both"/>
      </w:pPr>
      <w:r>
        <w:rPr>
          <w:rFonts w:ascii="Times New Roman" w:cs="Times New Roman" w:eastAsia="Times New Roman" w:hAnsi="Times New Roman"/>
          <w:b/>
          <w:bCs/>
        </w:rPr>
        <w:t xml:space="preserve">¿Por qué esos indicadores?</w:t>
      </w:r>
      <w:r>
        <w:rPr>
          <w:rFonts w:ascii="Times New Roman" w:cs="Times New Roman" w:eastAsia="Times New Roman" w:hAnsi="Times New Roman"/>
        </w:rPr>
        <w:t xml:space="preserve"> Cubren tres aspectos distintos del mercado: la dirección reciente (retorno), la posición frente a la tendencia corta (distancia a la media móvil) y el riesgo (volatilidad). Los precios de apertura, máximo, mínimo y cierre no entran al estado en niveles porque su escala cambia de 3.140 a 68.627 USD a lo largo de la serie: un agente entrenado con precios de 2019 vería en 2021 números que nunca observó. Los indicadores relativos sí son comparables entre periodos. El volumen se excluyó por un problema de la fuente (sección 5.7).</w:t>
      </w:r>
    </w:p>
    <w:p>
      <w:pPr>
        <w:spacing w:after="140" w:line="300"/>
        <w:jc w:val="both"/>
      </w:pPr>
      <w:r>
        <w:rPr>
          <w:rFonts w:ascii="Times New Roman" w:cs="Times New Roman" w:eastAsia="Times New Roman" w:hAnsi="Times New Roman"/>
          <w:b/>
          <w:bCs/>
        </w:rPr>
        <w:t xml:space="preserve">¿Cómo se evita usar información del futuro?</w:t>
      </w:r>
    </w:p>
    <w:p>
      <w:pPr>
        <w:pStyle w:val="ListParagraph"/>
        <w:numPr>
          <w:ilvl w:val="0"/>
          <w:numId w:val="4"/>
        </w:numPr>
        <w:spacing w:after="80" w:line="290"/>
        <w:jc w:val="both"/>
      </w:pPr>
      <w:r>
        <w:rPr>
          <w:rFonts w:ascii="Times New Roman" w:cs="Times New Roman" w:eastAsia="Times New Roman" w:hAnsi="Times New Roman"/>
        </w:rPr>
        <w:t xml:space="preserve">Todos los indicadores usan ventanas que terminan en la hora </w:t>
      </w:r>
      <w:r>
        <w:rPr>
          <w:rFonts w:ascii="Times New Roman" w:cs="Times New Roman" w:eastAsia="Times New Roman" w:hAnsi="Times New Roman"/>
          <w:i/>
          <w:iCs/>
        </w:rPr>
        <w:t xml:space="preserve">t</w:t>
      </w:r>
      <w:r>
        <w:rPr>
          <w:rFonts w:ascii="Times New Roman" w:cs="Times New Roman" w:eastAsia="Times New Roman" w:hAnsi="Times New Roman"/>
        </w:rPr>
        <w:t xml:space="preserve">. Para comprobarlo, se recalcularon con la serie cortada en </w:t>
      </w:r>
      <w:r>
        <w:rPr>
          <w:rFonts w:ascii="Times New Roman" w:cs="Times New Roman" w:eastAsia="Times New Roman" w:hAnsi="Times New Roman"/>
          <w:i/>
          <w:iCs/>
        </w:rPr>
        <w:t xml:space="preserve">t</w:t>
      </w:r>
      <w:r>
        <w:rPr>
          <w:rFonts w:ascii="Times New Roman" w:cs="Times New Roman" w:eastAsia="Times New Roman" w:hAnsi="Times New Roman"/>
        </w:rPr>
        <w:t xml:space="preserve"> en 300 horas elegidas al azar: el resultado fue idéntico al calculado con la serie completa.</w:t>
      </w:r>
    </w:p>
    <w:p>
      <w:pPr>
        <w:pStyle w:val="ListParagraph"/>
        <w:numPr>
          <w:ilvl w:val="0"/>
          <w:numId w:val="4"/>
        </w:numPr>
        <w:spacing w:after="80" w:line="290"/>
        <w:jc w:val="both"/>
      </w:pPr>
      <w:r>
        <w:rPr>
          <w:rFonts w:ascii="Times New Roman" w:cs="Times New Roman" w:eastAsia="Times New Roman" w:hAnsi="Times New Roman"/>
        </w:rPr>
        <w:t xml:space="preserve">La decisión se toma con el cierre de </w:t>
      </w:r>
      <w:r>
        <w:rPr>
          <w:rFonts w:ascii="Times New Roman" w:cs="Times New Roman" w:eastAsia="Times New Roman" w:hAnsi="Times New Roman"/>
          <w:i/>
          <w:iCs/>
        </w:rPr>
        <w:t xml:space="preserve">t</w:t>
      </w:r>
      <w:r>
        <w:rPr>
          <w:rFonts w:ascii="Times New Roman" w:cs="Times New Roman" w:eastAsia="Times New Roman" w:hAnsi="Times New Roman"/>
        </w:rPr>
        <w:t xml:space="preserve"> y su resultado se mide con el cierre de </w:t>
      </w:r>
      <w:r>
        <w:rPr>
          <w:rFonts w:ascii="Times New Roman" w:cs="Times New Roman" w:eastAsia="Times New Roman" w:hAnsi="Times New Roman"/>
          <w:i/>
          <w:iCs/>
        </w:rPr>
        <w:t xml:space="preserve">t+1</w:t>
      </w:r>
      <w:r>
        <w:rPr>
          <w:rFonts w:ascii="Times New Roman" w:cs="Times New Roman" w:eastAsia="Times New Roman" w:hAnsi="Times New Roman"/>
        </w:rPr>
        <w:t xml:space="preserve">. El precio de </w:t>
      </w:r>
      <w:r>
        <w:rPr>
          <w:rFonts w:ascii="Times New Roman" w:cs="Times New Roman" w:eastAsia="Times New Roman" w:hAnsi="Times New Roman"/>
          <w:i/>
          <w:iCs/>
        </w:rPr>
        <w:t xml:space="preserve">t+1</w:t>
      </w:r>
      <w:r>
        <w:rPr>
          <w:rFonts w:ascii="Times New Roman" w:cs="Times New Roman" w:eastAsia="Times New Roman" w:hAnsi="Times New Roman"/>
        </w:rPr>
        <w:t xml:space="preserve"> no está en ninguna variable del estado de </w:t>
      </w:r>
      <w:r>
        <w:rPr>
          <w:rFonts w:ascii="Times New Roman" w:cs="Times New Roman" w:eastAsia="Times New Roman" w:hAnsi="Times New Roman"/>
          <w:i/>
          <w:iCs/>
        </w:rPr>
        <w:t xml:space="preserve">t</w:t>
      </w:r>
      <w:r>
        <w:rPr>
          <w:rFonts w:ascii="Times New Roman" w:cs="Times New Roman" w:eastAsia="Times New Roman" w:hAnsi="Times New Roman"/>
        </w:rPr>
        <w:t xml:space="preserve"> (sección 6.4).</w:t>
      </w:r>
    </w:p>
    <w:p>
      <w:pPr>
        <w:pStyle w:val="ListParagraph"/>
        <w:numPr>
          <w:ilvl w:val="0"/>
          <w:numId w:val="4"/>
        </w:numPr>
        <w:spacing w:after="80" w:line="290"/>
        <w:jc w:val="both"/>
      </w:pPr>
      <w:r>
        <w:rPr>
          <w:rFonts w:ascii="Times New Roman" w:cs="Times New Roman" w:eastAsia="Times New Roman" w:hAnsi="Times New Roman"/>
        </w:rPr>
        <w:t xml:space="preserve">Cuando se escala el estado, la media y la desviación de cada indicador se calculan solo con el periodo de ajuste y se reutilizan sin cambios en validación y prueba.</w:t>
      </w:r>
    </w:p>
    <w:p>
      <w:pPr>
        <w:pStyle w:val="ListParagraph"/>
        <w:numPr>
          <w:ilvl w:val="0"/>
          <w:numId w:val="4"/>
        </w:numPr>
        <w:spacing w:after="80" w:line="290"/>
        <w:jc w:val="both"/>
      </w:pPr>
      <w:r>
        <w:rPr>
          <w:rFonts w:ascii="Times New Roman" w:cs="Times New Roman" w:eastAsia="Times New Roman" w:hAnsi="Times New Roman"/>
        </w:rPr>
        <w:t xml:space="preserve">Una segunda prueba reemplazó todos los precios e indicadores posteriores a </w:t>
      </w:r>
      <w:r>
        <w:rPr>
          <w:rFonts w:ascii="Times New Roman" w:cs="Times New Roman" w:eastAsia="Times New Roman" w:hAnsi="Times New Roman"/>
          <w:i/>
          <w:iCs/>
        </w:rPr>
        <w:t xml:space="preserve">t</w:t>
      </w:r>
      <w:r>
        <w:rPr>
          <w:rFonts w:ascii="Times New Roman" w:cs="Times New Roman" w:eastAsia="Times New Roman" w:hAnsi="Times New Roman"/>
        </w:rPr>
        <w:t xml:space="preserve"> por números al azar: las acciones del agente hasta </w:t>
      </w:r>
      <w:r>
        <w:rPr>
          <w:rFonts w:ascii="Times New Roman" w:cs="Times New Roman" w:eastAsia="Times New Roman" w:hAnsi="Times New Roman"/>
          <w:i/>
          <w:iCs/>
        </w:rPr>
        <w:t xml:space="preserve">t</w:t>
      </w:r>
      <w:r>
        <w:rPr>
          <w:rFonts w:ascii="Times New Roman" w:cs="Times New Roman" w:eastAsia="Times New Roman" w:hAnsi="Times New Roman"/>
        </w:rPr>
        <w:t xml:space="preserve"> no cambiaron en ninguno de los 100 cortes revisados.</w:t>
      </w:r>
    </w:p>
    <w:p>
      <w:pPr>
        <w:pStyle w:val="ListParagraph"/>
        <w:numPr>
          <w:ilvl w:val="0"/>
          <w:numId w:val="4"/>
        </w:numPr>
        <w:spacing w:after="80" w:line="290"/>
        <w:jc w:val="both"/>
      </w:pPr>
      <w:r>
        <w:rPr>
          <w:rFonts w:ascii="Times New Roman" w:cs="Times New Roman" w:eastAsia="Times New Roman" w:hAnsi="Times New Roman"/>
        </w:rPr>
        <w:t xml:space="preserve">Las primeras 24 horas de validación y de prueba usan precios del final del periodo anterior. Es información pasada, que ya estaba disponible en ese momento.</w:t>
      </w:r>
    </w:p>
    <w:p>
      <w:pPr>
        <w:pStyle w:val="Heading2"/>
        <w:keepNext/>
      </w:pPr>
      <w:r>
        <w:rPr>
          <w:rFonts w:ascii="Times New Roman" w:cs="Times New Roman" w:eastAsia="Times New Roman" w:hAnsi="Times New Roman"/>
        </w:rPr>
        <w:t xml:space="preserve">4.2. Acciones: qué puede hacer el agente</w:t>
      </w:r>
    </w:p>
    <w:p>
      <w:pPr>
        <w:keepNext/>
        <w:spacing w:after="40" w:before="160"/>
      </w:pPr>
      <w:r>
        <w:rPr>
          <w:rFonts w:ascii="Times New Roman" w:cs="Times New Roman" w:eastAsia="Times New Roman" w:hAnsi="Times New Roman"/>
          <w:b/>
          <w:bCs/>
        </w:rPr>
        <w:t xml:space="preserve">Tabla 2</w:t>
      </w:r>
    </w:p>
    <w:p>
      <w:pPr>
        <w:keepNext/>
        <w:spacing w:after="100"/>
      </w:pPr>
      <w:r>
        <w:rPr>
          <w:rFonts w:ascii="Times New Roman" w:cs="Times New Roman" w:eastAsia="Times New Roman" w:hAnsi="Times New Roman"/>
          <w:i/>
          <w:iCs/>
        </w:rPr>
        <w:t xml:space="preserve">Espacio de acciones</w:t>
      </w:r>
    </w:p>
    <w:tbl>
      <w:tblPr>
        <w:tblW w:type="dxa" w:w="8838"/>
        <w:tblBorders>
          <w:top w:val="single" w:color="auto" w:sz="4"/>
          <w:left w:val="single" w:color="auto" w:sz="4"/>
          <w:bottom w:val="single" w:color="auto" w:sz="4"/>
          <w:right w:val="single" w:color="auto" w:sz="4"/>
          <w:insideH w:val="single" w:color="auto" w:sz="4"/>
          <w:insideV w:val="single" w:color="auto" w:sz="4"/>
        </w:tblBorders>
      </w:tblPr>
      <w:tblGrid>
        <w:gridCol w:w="1000"/>
        <w:gridCol w:w="1700"/>
        <w:gridCol w:w="6138"/>
      </w:tblGrid>
      <w:tr>
        <w:trPr>
          <w:tblHeader/>
        </w:trPr>
        <w:tc>
          <w:tcPr>
            <w:tcW w:type="dxa" w:w="1000"/>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19"/>
                <w:szCs w:val="19"/>
              </w:rPr>
              <w:t xml:space="preserve">Acción</w:t>
            </w:r>
          </w:p>
        </w:tc>
        <w:tc>
          <w:tcPr>
            <w:tcW w:type="dxa" w:w="1700"/>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19"/>
                <w:szCs w:val="19"/>
              </w:rPr>
              <w:t xml:space="preserve">Exposición objetivo</w:t>
            </w:r>
          </w:p>
        </w:tc>
        <w:tc>
          <w:tcPr>
            <w:tcW w:type="dxa" w:w="6138"/>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19"/>
                <w:szCs w:val="19"/>
              </w:rPr>
              <w:t xml:space="preserve">Significado económico</w:t>
            </w:r>
          </w:p>
        </w:tc>
      </w:tr>
      <w:tr>
        <w:trPr>
          <w:cantSplit/>
        </w:trPr>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center"/>
            </w:pPr>
            <w:r>
              <w:rPr>
                <w:rFonts w:ascii="Times New Roman" w:cs="Times New Roman" w:eastAsia="Times New Roman" w:hAnsi="Times New Roman"/>
                <w:b w:val="false"/>
                <w:bCs w:val="false"/>
                <w:sz w:val="19"/>
                <w:szCs w:val="19"/>
              </w:rPr>
              <w:t xml:space="preserve">0</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center"/>
            </w:pPr>
            <w:r>
              <w:rPr>
                <w:rFonts w:ascii="Times New Roman" w:cs="Times New Roman" w:eastAsia="Times New Roman" w:hAnsi="Times New Roman"/>
                <w:b w:val="false"/>
                <w:bCs w:val="false"/>
                <w:sz w:val="19"/>
                <w:szCs w:val="19"/>
              </w:rPr>
              <w:t xml:space="preserve">0 % en BTC</w:t>
            </w:r>
          </w:p>
        </w:tc>
        <w:tc>
          <w:tcPr>
            <w:tcW w:type="dxa" w:w="61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19"/>
                <w:szCs w:val="19"/>
              </w:rPr>
              <w:t xml:space="preserve">Todo el capital en dólares. El valor no cambia con el precio de BTC. El efectivo no gana intereses.</w:t>
            </w:r>
          </w:p>
        </w:tc>
      </w:tr>
      <w:tr>
        <w:trPr>
          <w:cantSplit/>
        </w:trPr>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center"/>
            </w:pPr>
            <w:r>
              <w:rPr>
                <w:rFonts w:ascii="Times New Roman" w:cs="Times New Roman" w:eastAsia="Times New Roman" w:hAnsi="Times New Roman"/>
                <w:b w:val="false"/>
                <w:bCs w:val="false"/>
                <w:sz w:val="19"/>
                <w:szCs w:val="19"/>
              </w:rPr>
              <w:t xml:space="preserve">1</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center"/>
            </w:pPr>
            <w:r>
              <w:rPr>
                <w:rFonts w:ascii="Times New Roman" w:cs="Times New Roman" w:eastAsia="Times New Roman" w:hAnsi="Times New Roman"/>
                <w:b w:val="false"/>
                <w:bCs w:val="false"/>
                <w:sz w:val="19"/>
                <w:szCs w:val="19"/>
              </w:rPr>
              <w:t xml:space="preserve">50 % en BTC</w:t>
            </w:r>
          </w:p>
        </w:tc>
        <w:tc>
          <w:tcPr>
            <w:tcW w:type="dxa" w:w="61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19"/>
                <w:szCs w:val="19"/>
              </w:rPr>
              <w:t xml:space="preserve">Mitad en BTC y mitad en dólares. El portafolio gana o pierde la mitad de lo que se mueve BTC. Para seguir en 50 %, el entorno rebalancea cada hora y cobra el costo de ese ajuste.</w:t>
            </w:r>
          </w:p>
        </w:tc>
      </w:tr>
      <w:tr>
        <w:trPr>
          <w:cantSplit/>
        </w:trPr>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center"/>
            </w:pPr>
            <w:r>
              <w:rPr>
                <w:rFonts w:ascii="Times New Roman" w:cs="Times New Roman" w:eastAsia="Times New Roman" w:hAnsi="Times New Roman"/>
                <w:b w:val="false"/>
                <w:bCs w:val="false"/>
                <w:sz w:val="19"/>
                <w:szCs w:val="19"/>
              </w:rPr>
              <w:t xml:space="preserve">2</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center"/>
            </w:pPr>
            <w:r>
              <w:rPr>
                <w:rFonts w:ascii="Times New Roman" w:cs="Times New Roman" w:eastAsia="Times New Roman" w:hAnsi="Times New Roman"/>
                <w:b w:val="false"/>
                <w:bCs w:val="false"/>
                <w:sz w:val="19"/>
                <w:szCs w:val="19"/>
              </w:rPr>
              <w:t xml:space="preserve">100 % en BTC</w:t>
            </w:r>
          </w:p>
        </w:tc>
        <w:tc>
          <w:tcPr>
            <w:tcW w:type="dxa" w:w="61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19"/>
                <w:szCs w:val="19"/>
              </w:rPr>
              <w:t xml:space="preserve">Todo el capital en BTC. El portafolio se mueve igual que el precio.</w:t>
            </w:r>
          </w:p>
        </w:tc>
      </w:tr>
    </w:tbl>
    <w:p>
      <w:pPr>
        <w:spacing w:after="120"/>
      </w:pPr>
    </w:p>
    <w:p>
      <w:pPr>
        <w:spacing w:after="140" w:line="300"/>
        <w:jc w:val="both"/>
      </w:pPr>
      <w:r>
        <w:rPr>
          <w:rFonts w:ascii="Times New Roman" w:cs="Times New Roman" w:eastAsia="Times New Roman" w:hAnsi="Times New Roman"/>
        </w:rPr>
        <w:t xml:space="preserve">Las acciones son </w:t>
      </w:r>
      <w:r>
        <w:rPr>
          <w:rFonts w:ascii="Times New Roman" w:cs="Times New Roman" w:eastAsia="Times New Roman" w:hAnsi="Times New Roman"/>
          <w:b/>
          <w:bCs/>
        </w:rPr>
        <w:t xml:space="preserve">exposiciones objetivo</w:t>
      </w:r>
      <w:r>
        <w:rPr>
          <w:rFonts w:ascii="Times New Roman" w:cs="Times New Roman" w:eastAsia="Times New Roman" w:hAnsi="Times New Roman"/>
        </w:rPr>
        <w:t xml:space="preserve">, no órdenes de compra o venta. Si el agente pide 100 % y ya está en 100 %, no opera. Así cada acción significa lo mismo en cualquier estado y las estrategias de referencia se escriben con las mismas acciones: comprar y mantener es pedir siempre 100 %. La primera versión del entorno usaba {mantener, vender, comprar} con posición 0 o 1. El significado de «mantener» dependía de la posición y no existía el 50 %, por eso se cambió a exposiciones objetivo.</w:t>
      </w:r>
    </w:p>
    <w:p>
      <w:pPr>
        <w:spacing w:after="140" w:line="300"/>
        <w:jc w:val="both"/>
      </w:pPr>
      <w:r>
        <w:rPr>
          <w:rFonts w:ascii="Times New Roman" w:cs="Times New Roman" w:eastAsia="Times New Roman" w:hAnsi="Times New Roman"/>
          <w:b/>
          <w:bCs/>
        </w:rPr>
        <w:t xml:space="preserve">¿Por qué tres niveles?</w:t>
      </w:r>
      <w:r>
        <w:rPr>
          <w:rFonts w:ascii="Times New Roman" w:cs="Times New Roman" w:eastAsia="Times New Roman" w:hAnsi="Times New Roman"/>
        </w:rPr>
        <w:t xml:space="preserve"> Distinguen las tres decisiones básicas (fuera del mercado, mitad, todo) y mantienen el problema pequeño para DQN: con tres salidas la red compara pocas opciones y cada una se explora con frecuencia. Un espacio con 25 % y 75 % daría más matices, pero las diferencias entre los valores Q de acciones vecinas serían aún más pequeñas, y ya con tres niveles resultaron difíciles de separar (sección 7).</w:t>
      </w:r>
    </w:p>
    <w:p>
      <w:pPr>
        <w:spacing w:after="140" w:line="300"/>
        <w:jc w:val="both"/>
      </w:pPr>
      <w:r>
        <w:rPr>
          <w:rFonts w:ascii="Times New Roman" w:cs="Times New Roman" w:eastAsia="Times New Roman" w:hAnsi="Times New Roman"/>
          <w:b/>
          <w:bCs/>
        </w:rPr>
        <w:t xml:space="preserve">¿Qué decisiones no puede tomar el agente con esta representación?</w:t>
      </w:r>
    </w:p>
    <w:p>
      <w:pPr>
        <w:pStyle w:val="ListParagraph"/>
        <w:numPr>
          <w:ilvl w:val="0"/>
          <w:numId w:val="4"/>
        </w:numPr>
        <w:spacing w:after="80" w:line="290"/>
        <w:jc w:val="both"/>
      </w:pPr>
      <w:r>
        <w:rPr>
          <w:rFonts w:ascii="Times New Roman" w:cs="Times New Roman" w:eastAsia="Times New Roman" w:hAnsi="Times New Roman"/>
        </w:rPr>
        <w:t xml:space="preserve">Vender en corto: no puede ganar cuando el precio baja. Lo máximo que puede hacer en una caída es salir del mercado.</w:t>
      </w:r>
    </w:p>
    <w:p>
      <w:pPr>
        <w:pStyle w:val="ListParagraph"/>
        <w:numPr>
          <w:ilvl w:val="0"/>
          <w:numId w:val="4"/>
        </w:numPr>
        <w:spacing w:after="80" w:line="290"/>
        <w:jc w:val="both"/>
      </w:pPr>
      <w:r>
        <w:rPr>
          <w:rFonts w:ascii="Times New Roman" w:cs="Times New Roman" w:eastAsia="Times New Roman" w:hAnsi="Times New Roman"/>
        </w:rPr>
        <w:t xml:space="preserve">Usar apalancamiento: nunca expone más del 100 % del capital.</w:t>
      </w:r>
    </w:p>
    <w:p>
      <w:pPr>
        <w:pStyle w:val="ListParagraph"/>
        <w:numPr>
          <w:ilvl w:val="0"/>
          <w:numId w:val="4"/>
        </w:numPr>
        <w:spacing w:after="80" w:line="290"/>
        <w:jc w:val="both"/>
      </w:pPr>
      <w:r>
        <w:rPr>
          <w:rFonts w:ascii="Times New Roman" w:cs="Times New Roman" w:eastAsia="Times New Roman" w:hAnsi="Times New Roman"/>
        </w:rPr>
        <w:t xml:space="preserve">Elegir exposiciones intermedias como 25 % o 75 %.</w:t>
      </w:r>
    </w:p>
    <w:p>
      <w:pPr>
        <w:pStyle w:val="ListParagraph"/>
        <w:numPr>
          <w:ilvl w:val="0"/>
          <w:numId w:val="4"/>
        </w:numPr>
        <w:spacing w:after="80" w:line="290"/>
        <w:jc w:val="both"/>
      </w:pPr>
      <w:r>
        <w:rPr>
          <w:rFonts w:ascii="Times New Roman" w:cs="Times New Roman" w:eastAsia="Times New Roman" w:hAnsi="Times New Roman"/>
        </w:rPr>
        <w:t xml:space="preserve">Operar más de una vez por hora o elegir el precio de ejecución: siempre opera al cierre de la hora.</w:t>
      </w:r>
    </w:p>
    <w:p>
      <w:pPr>
        <w:pStyle w:val="ListParagraph"/>
        <w:numPr>
          <w:ilvl w:val="0"/>
          <w:numId w:val="4"/>
        </w:numPr>
        <w:spacing w:after="80" w:line="290"/>
        <w:jc w:val="both"/>
      </w:pPr>
      <w:r>
        <w:rPr>
          <w:rFonts w:ascii="Times New Roman" w:cs="Times New Roman" w:eastAsia="Times New Roman" w:hAnsi="Times New Roman"/>
        </w:rPr>
        <w:t xml:space="preserve">Usar órdenes condicionadas, por ejemplo límites de pérdida.</w:t>
      </w:r>
    </w:p>
    <w:p>
      <w:pPr>
        <w:pStyle w:val="ListParagraph"/>
        <w:numPr>
          <w:ilvl w:val="0"/>
          <w:numId w:val="4"/>
        </w:numPr>
        <w:spacing w:after="80" w:line="290"/>
        <w:jc w:val="both"/>
      </w:pPr>
      <w:r>
        <w:rPr>
          <w:rFonts w:ascii="Times New Roman" w:cs="Times New Roman" w:eastAsia="Times New Roman" w:hAnsi="Times New Roman"/>
        </w:rPr>
        <w:t xml:space="preserve">Repartir el capital entre varios activos: solo existen BTC y efectivo.</w:t>
      </w:r>
    </w:p>
    <w:p>
      <w:pPr>
        <w:pStyle w:val="ListParagraph"/>
        <w:numPr>
          <w:ilvl w:val="0"/>
          <w:numId w:val="4"/>
        </w:numPr>
        <w:spacing w:after="80" w:line="290"/>
        <w:jc w:val="both"/>
      </w:pPr>
      <w:r>
        <w:rPr>
          <w:rFonts w:ascii="Times New Roman" w:cs="Times New Roman" w:eastAsia="Times New Roman" w:hAnsi="Times New Roman"/>
        </w:rPr>
        <w:t xml:space="preserve">Mantener el 50 % sin rebalancear: si el precio se mueve, el entorno vuelve al 50 % y cobra ese ajuste.</w:t>
      </w:r>
    </w:p>
    <w:p>
      <w:pPr>
        <w:pStyle w:val="Heading1"/>
        <w:keepNext/>
      </w:pPr>
      <w:r>
        <w:rPr>
          <w:rFonts w:ascii="Times New Roman" w:cs="Times New Roman" w:eastAsia="Times New Roman" w:hAnsi="Times New Roman"/>
        </w:rPr>
        <w:t xml:space="preserve">5. Datos y análisis exploratorio</w:t>
      </w:r>
    </w:p>
    <w:p>
      <w:pPr>
        <w:pStyle w:val="Heading2"/>
        <w:keepNext/>
      </w:pPr>
      <w:r>
        <w:rPr>
          <w:rFonts w:ascii="Times New Roman" w:cs="Times New Roman" w:eastAsia="Times New Roman" w:hAnsi="Times New Roman"/>
        </w:rPr>
        <w:t xml:space="preserve">5.1. Fuente de información</w:t>
      </w:r>
    </w:p>
    <w:p>
      <w:pPr>
        <w:spacing w:after="140" w:line="300"/>
        <w:jc w:val="both"/>
      </w:pPr>
      <w:r>
        <w:rPr>
          <w:rFonts w:ascii="Times New Roman" w:cs="Times New Roman" w:eastAsia="Times New Roman" w:hAnsi="Times New Roman"/>
        </w:rPr>
        <w:t xml:space="preserve">Se usaron datos horarios de BTC/USD del repositorio público Gym-Trading-Env (ClementPerroud, s. f.-b). Una copia del archivo está en el repositorio del proyecto (</w:t>
      </w:r>
      <w:r>
        <w:rPr>
          <w:rFonts w:ascii="Consolas" w:cs="Consolas" w:eastAsia="Consolas" w:hAnsi="Consolas"/>
          <w:sz w:val="21"/>
          <w:szCs w:val="21"/>
        </w:rPr>
        <w:t xml:space="preserve">data/BTC_USD-Hourly.csv</w:t>
      </w:r>
      <w:r>
        <w:rPr>
          <w:rFonts w:ascii="Times New Roman" w:cs="Times New Roman" w:eastAsia="Times New Roman" w:hAnsi="Times New Roman"/>
        </w:rPr>
        <w:t xml:space="preserve">) y el código comprueba su huella SHA-256 antes de usarlo, para garantizar que todos trabajan con el mismo archivo.</w:t>
      </w:r>
    </w:p>
    <w:p>
      <w:pPr>
        <w:pStyle w:val="Heading2"/>
        <w:keepNext/>
      </w:pPr>
      <w:r>
        <w:rPr>
          <w:rFonts w:ascii="Times New Roman" w:cs="Times New Roman" w:eastAsia="Times New Roman" w:hAnsi="Times New Roman"/>
        </w:rPr>
        <w:t xml:space="preserve">5.2. Caracterización y validación temporal</w:t>
      </w:r>
    </w:p>
    <w:p>
      <w:pPr>
        <w:spacing w:after="140" w:line="300"/>
        <w:jc w:val="both"/>
      </w:pPr>
      <w:r>
        <w:rPr>
          <w:rFonts w:ascii="Times New Roman" w:cs="Times New Roman" w:eastAsia="Times New Roman" w:hAnsi="Times New Roman"/>
        </w:rPr>
        <w:t xml:space="preserve">El archivo tiene 33.259 observaciones horarias entre el 15 de mayo de 2018 a las 06:00 UTC y el 1 de marzo de 2022 a las 00:00 UTC, con nueve columnas: </w:t>
      </w:r>
      <w:r>
        <w:rPr>
          <w:rFonts w:ascii="Consolas" w:cs="Consolas" w:eastAsia="Consolas" w:hAnsi="Consolas"/>
          <w:sz w:val="21"/>
          <w:szCs w:val="21"/>
        </w:rPr>
        <w:t xml:space="preserve">unix</w:t>
      </w:r>
      <w:r>
        <w:rPr>
          <w:rFonts w:ascii="Times New Roman" w:cs="Times New Roman" w:eastAsia="Times New Roman" w:hAnsi="Times New Roman"/>
        </w:rPr>
        <w:t xml:space="preserve"> (marca de tiempo), </w:t>
      </w:r>
      <w:r>
        <w:rPr>
          <w:rFonts w:ascii="Consolas" w:cs="Consolas" w:eastAsia="Consolas" w:hAnsi="Consolas"/>
          <w:sz w:val="21"/>
          <w:szCs w:val="21"/>
        </w:rPr>
        <w:t xml:space="preserve">date</w:t>
      </w:r>
      <w:r>
        <w:rPr>
          <w:rFonts w:ascii="Times New Roman" w:cs="Times New Roman" w:eastAsia="Times New Roman" w:hAnsi="Times New Roman"/>
        </w:rPr>
        <w:t xml:space="preserve">, </w:t>
      </w:r>
      <w:r>
        <w:rPr>
          <w:rFonts w:ascii="Consolas" w:cs="Consolas" w:eastAsia="Consolas" w:hAnsi="Consolas"/>
          <w:sz w:val="21"/>
          <w:szCs w:val="21"/>
        </w:rPr>
        <w:t xml:space="preserve">symbol</w:t>
      </w:r>
      <w:r>
        <w:rPr>
          <w:rFonts w:ascii="Times New Roman" w:cs="Times New Roman" w:eastAsia="Times New Roman" w:hAnsi="Times New Roman"/>
        </w:rPr>
        <w:t xml:space="preserve">, </w:t>
      </w:r>
      <w:r>
        <w:rPr>
          <w:rFonts w:ascii="Consolas" w:cs="Consolas" w:eastAsia="Consolas" w:hAnsi="Consolas"/>
          <w:sz w:val="21"/>
          <w:szCs w:val="21"/>
        </w:rPr>
        <w:t xml:space="preserve">open</w:t>
      </w:r>
      <w:r>
        <w:rPr>
          <w:rFonts w:ascii="Times New Roman" w:cs="Times New Roman" w:eastAsia="Times New Roman" w:hAnsi="Times New Roman"/>
        </w:rPr>
        <w:t xml:space="preserve">, </w:t>
      </w:r>
      <w:r>
        <w:rPr>
          <w:rFonts w:ascii="Consolas" w:cs="Consolas" w:eastAsia="Consolas" w:hAnsi="Consolas"/>
          <w:sz w:val="21"/>
          <w:szCs w:val="21"/>
        </w:rPr>
        <w:t xml:space="preserve">high</w:t>
      </w:r>
      <w:r>
        <w:rPr>
          <w:rFonts w:ascii="Times New Roman" w:cs="Times New Roman" w:eastAsia="Times New Roman" w:hAnsi="Times New Roman"/>
        </w:rPr>
        <w:t xml:space="preserve">, </w:t>
      </w:r>
      <w:r>
        <w:rPr>
          <w:rFonts w:ascii="Consolas" w:cs="Consolas" w:eastAsia="Consolas" w:hAnsi="Consolas"/>
          <w:sz w:val="21"/>
          <w:szCs w:val="21"/>
        </w:rPr>
        <w:t xml:space="preserve">low</w:t>
      </w:r>
      <w:r>
        <w:rPr>
          <w:rFonts w:ascii="Times New Roman" w:cs="Times New Roman" w:eastAsia="Times New Roman" w:hAnsi="Times New Roman"/>
        </w:rPr>
        <w:t xml:space="preserve">, </w:t>
      </w:r>
      <w:r>
        <w:rPr>
          <w:rFonts w:ascii="Consolas" w:cs="Consolas" w:eastAsia="Consolas" w:hAnsi="Consolas"/>
          <w:sz w:val="21"/>
          <w:szCs w:val="21"/>
        </w:rPr>
        <w:t xml:space="preserve">close</w:t>
      </w:r>
      <w:r>
        <w:rPr>
          <w:rFonts w:ascii="Times New Roman" w:cs="Times New Roman" w:eastAsia="Times New Roman" w:hAnsi="Times New Roman"/>
        </w:rPr>
        <w:t xml:space="preserve">, </w:t>
      </w:r>
      <w:r>
        <w:rPr>
          <w:rFonts w:ascii="Consolas" w:cs="Consolas" w:eastAsia="Consolas" w:hAnsi="Consolas"/>
          <w:sz w:val="21"/>
          <w:szCs w:val="21"/>
        </w:rPr>
        <w:t xml:space="preserve">volume</w:t>
      </w:r>
      <w:r>
        <w:rPr>
          <w:rFonts w:ascii="Times New Roman" w:cs="Times New Roman" w:eastAsia="Times New Roman" w:hAnsi="Times New Roman"/>
        </w:rPr>
        <w:t xml:space="preserve"> y </w:t>
      </w:r>
      <w:r>
        <w:rPr>
          <w:rFonts w:ascii="Consolas" w:cs="Consolas" w:eastAsia="Consolas" w:hAnsi="Consolas"/>
          <w:sz w:val="21"/>
          <w:szCs w:val="21"/>
        </w:rPr>
        <w:t xml:space="preserve">Volume USD</w:t>
      </w:r>
      <w:r>
        <w:rPr>
          <w:rFonts w:ascii="Times New Roman" w:cs="Times New Roman" w:eastAsia="Times New Roman" w:hAnsi="Times New Roman"/>
        </w:rPr>
        <w:t xml:space="preserve">. No hay valores faltantes ni fechas duplicadas, y todos los intervalos entre filas son de una hora exacta. Los registros se ordenaron por fecha antes de cualquier cálculo.</w:t>
      </w:r>
    </w:p>
    <w:p>
      <w:pPr>
        <w:pStyle w:val="Heading2"/>
        <w:keepNext/>
      </w:pPr>
      <w:r>
        <w:rPr>
          <w:rFonts w:ascii="Times New Roman" w:cs="Times New Roman" w:eastAsia="Times New Roman" w:hAnsi="Times New Roman"/>
        </w:rPr>
        <w:t xml:space="preserve">5.3. Precio</w:t>
      </w:r>
    </w:p>
    <w:p>
      <w:pPr>
        <w:keepNext/>
        <w:spacing w:after="40" w:before="160"/>
      </w:pPr>
      <w:r>
        <w:rPr>
          <w:rFonts w:ascii="Times New Roman" w:cs="Times New Roman" w:eastAsia="Times New Roman" w:hAnsi="Times New Roman"/>
          <w:b/>
          <w:bCs/>
        </w:rPr>
        <w:t xml:space="preserve">Tabla 3</w:t>
      </w:r>
    </w:p>
    <w:p>
      <w:pPr>
        <w:keepNext/>
        <w:spacing w:after="100"/>
      </w:pPr>
      <w:r>
        <w:rPr>
          <w:rFonts w:ascii="Times New Roman" w:cs="Times New Roman" w:eastAsia="Times New Roman" w:hAnsi="Times New Roman"/>
          <w:i/>
          <w:iCs/>
        </w:rPr>
        <w:t xml:space="preserve">Estadísticos del precio de cierre (USD)</w:t>
      </w:r>
    </w:p>
    <w:tbl>
      <w:tblPr>
        <w:tblW w:type="dxa" w:w="8838"/>
        <w:tblBorders>
          <w:top w:val="single" w:color="auto" w:sz="4"/>
          <w:left w:val="single" w:color="auto" w:sz="4"/>
          <w:bottom w:val="single" w:color="auto" w:sz="4"/>
          <w:right w:val="single" w:color="auto" w:sz="4"/>
          <w:insideH w:val="single" w:color="auto" w:sz="4"/>
          <w:insideV w:val="single" w:color="auto" w:sz="4"/>
        </w:tblBorders>
      </w:tblPr>
      <w:tblGrid>
        <w:gridCol w:w="5838"/>
        <w:gridCol w:w="3000"/>
      </w:tblGrid>
      <w:tr>
        <w:trPr>
          <w:tblHeader/>
        </w:trPr>
        <w:tc>
          <w:tcPr>
            <w:tcW w:type="dxa" w:w="5838"/>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19"/>
                <w:szCs w:val="19"/>
              </w:rPr>
              <w:t xml:space="preserve">Estadístico</w:t>
            </w:r>
          </w:p>
        </w:tc>
        <w:tc>
          <w:tcPr>
            <w:tcW w:type="dxa" w:w="3000"/>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19"/>
                <w:szCs w:val="19"/>
              </w:rPr>
              <w:t xml:space="preserve">Valor</w:t>
            </w:r>
          </w:p>
        </w:tc>
      </w:tr>
      <w:tr>
        <w:trPr>
          <w:cantSplit/>
        </w:trPr>
        <w:tc>
          <w:tcPr>
            <w:tcW w:type="dxa" w:w="58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19"/>
                <w:szCs w:val="19"/>
              </w:rPr>
              <w:t xml:space="preserve">Media</w:t>
            </w:r>
          </w:p>
        </w:tc>
        <w:tc>
          <w:tcPr>
            <w:tcW w:type="dxa" w:w="3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right"/>
            </w:pPr>
            <w:r>
              <w:rPr>
                <w:rFonts w:ascii="Times New Roman" w:cs="Times New Roman" w:eastAsia="Times New Roman" w:hAnsi="Times New Roman"/>
                <w:b w:val="false"/>
                <w:bCs w:val="false"/>
                <w:sz w:val="19"/>
                <w:szCs w:val="19"/>
              </w:rPr>
              <w:t xml:space="preserve">20.120,68</w:t>
            </w:r>
          </w:p>
        </w:tc>
      </w:tr>
      <w:tr>
        <w:trPr>
          <w:cantSplit/>
        </w:trPr>
        <w:tc>
          <w:tcPr>
            <w:tcW w:type="dxa" w:w="58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19"/>
                <w:szCs w:val="19"/>
              </w:rPr>
              <w:t xml:space="preserve">Desviación estándar</w:t>
            </w:r>
          </w:p>
        </w:tc>
        <w:tc>
          <w:tcPr>
            <w:tcW w:type="dxa" w:w="3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right"/>
            </w:pPr>
            <w:r>
              <w:rPr>
                <w:rFonts w:ascii="Times New Roman" w:cs="Times New Roman" w:eastAsia="Times New Roman" w:hAnsi="Times New Roman"/>
                <w:b w:val="false"/>
                <w:bCs w:val="false"/>
                <w:sz w:val="19"/>
                <w:szCs w:val="19"/>
              </w:rPr>
              <w:t xml:space="preserve">18.537,70</w:t>
            </w:r>
          </w:p>
        </w:tc>
      </w:tr>
      <w:tr>
        <w:trPr>
          <w:cantSplit/>
        </w:trPr>
        <w:tc>
          <w:tcPr>
            <w:tcW w:type="dxa" w:w="58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19"/>
                <w:szCs w:val="19"/>
              </w:rPr>
              <w:t xml:space="preserve">Mínimo</w:t>
            </w:r>
          </w:p>
        </w:tc>
        <w:tc>
          <w:tcPr>
            <w:tcW w:type="dxa" w:w="3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right"/>
            </w:pPr>
            <w:r>
              <w:rPr>
                <w:rFonts w:ascii="Times New Roman" w:cs="Times New Roman" w:eastAsia="Times New Roman" w:hAnsi="Times New Roman"/>
                <w:b w:val="false"/>
                <w:bCs w:val="false"/>
                <w:sz w:val="19"/>
                <w:szCs w:val="19"/>
              </w:rPr>
              <w:t xml:space="preserve">3.139,76</w:t>
            </w:r>
          </w:p>
        </w:tc>
      </w:tr>
      <w:tr>
        <w:trPr>
          <w:cantSplit/>
        </w:trPr>
        <w:tc>
          <w:tcPr>
            <w:tcW w:type="dxa" w:w="58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19"/>
                <w:szCs w:val="19"/>
              </w:rPr>
              <w:t xml:space="preserve">Mediana</w:t>
            </w:r>
          </w:p>
        </w:tc>
        <w:tc>
          <w:tcPr>
            <w:tcW w:type="dxa" w:w="3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right"/>
            </w:pPr>
            <w:r>
              <w:rPr>
                <w:rFonts w:ascii="Times New Roman" w:cs="Times New Roman" w:eastAsia="Times New Roman" w:hAnsi="Times New Roman"/>
                <w:b w:val="false"/>
                <w:bCs w:val="false"/>
                <w:sz w:val="19"/>
                <w:szCs w:val="19"/>
              </w:rPr>
              <w:t xml:space="preserve">9.700,32</w:t>
            </w:r>
          </w:p>
        </w:tc>
      </w:tr>
      <w:tr>
        <w:trPr>
          <w:cantSplit/>
        </w:trPr>
        <w:tc>
          <w:tcPr>
            <w:tcW w:type="dxa" w:w="58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19"/>
                <w:szCs w:val="19"/>
              </w:rPr>
              <w:t xml:space="preserve">Máximo</w:t>
            </w:r>
          </w:p>
        </w:tc>
        <w:tc>
          <w:tcPr>
            <w:tcW w:type="dxa" w:w="3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right"/>
            </w:pPr>
            <w:r>
              <w:rPr>
                <w:rFonts w:ascii="Times New Roman" w:cs="Times New Roman" w:eastAsia="Times New Roman" w:hAnsi="Times New Roman"/>
                <w:b w:val="false"/>
                <w:bCs w:val="false"/>
                <w:sz w:val="19"/>
                <w:szCs w:val="19"/>
              </w:rPr>
              <w:t xml:space="preserve">68.627,01</w:t>
            </w:r>
          </w:p>
        </w:tc>
      </w:tr>
    </w:tbl>
    <w:p>
      <w:pPr>
        <w:spacing w:after="120"/>
      </w:pPr>
    </w:p>
    <w:p>
      <w:pPr>
        <w:spacing w:after="140" w:line="300"/>
        <w:jc w:val="both"/>
      </w:pPr>
      <w:r>
        <w:rPr>
          <w:rFonts w:ascii="Times New Roman" w:cs="Times New Roman" w:eastAsia="Times New Roman" w:hAnsi="Times New Roman"/>
        </w:rPr>
        <w:t xml:space="preserve">El precio tuvo una dispersión muy amplia. La media es el doble de la mediana porque los precios altos se concentran en 2021. Por eso el estado usa variaciones relativas y no niveles de precio.</w:t>
      </w:r>
    </w:p>
    <w:p>
      <w:pPr>
        <w:pStyle w:val="Heading2"/>
        <w:keepNext/>
      </w:pPr>
      <w:r>
        <w:rPr>
          <w:rFonts w:ascii="Times New Roman" w:cs="Times New Roman" w:eastAsia="Times New Roman" w:hAnsi="Times New Roman"/>
        </w:rPr>
        <w:t xml:space="preserve">5.4. Retornos</w:t>
      </w:r>
    </w:p>
    <w:p>
      <w:pPr>
        <w:spacing w:after="140" w:line="300"/>
        <w:jc w:val="both"/>
      </w:pPr>
      <w:r>
        <w:rPr>
          <w:rFonts w:ascii="Times New Roman" w:cs="Times New Roman" w:eastAsia="Times New Roman" w:hAnsi="Times New Roman"/>
        </w:rPr>
        <w:t xml:space="preserve">El retorno horario tiene una media de 0,0081 %, una desviación de 0,8159 %, un mínimo de −16,55 % y un máximo de 22,81 %. El retorno de 24 horas tiene media de 0,1862 %, desviación de 3,8611 %, mínimo de −46,72 % y máximo de 35,65 %. Los valores extremos se revisaron uno por uno (octubre de 2019 y marzo de 2020): los cálculos son correctos y se conservaron porque forman parte del comportamiento del mercado.</w:t>
      </w:r>
    </w:p>
    <w:p>
      <w:pPr>
        <w:spacing w:after="140" w:line="300"/>
        <w:jc w:val="both"/>
      </w:pPr>
      <w:r>
        <w:rPr>
          <w:rFonts w:ascii="Times New Roman" w:cs="Times New Roman" w:eastAsia="Times New Roman" w:hAnsi="Times New Roman"/>
        </w:rPr>
        <w:t xml:space="preserve">La distribución de los retornos horarios tiene un pico alto en cero y colas mucho más gruesas que una normal: el exceso de curtosis es 49,0, y el 1,77 % de las horas tiene movimientos de más de tres desviaciones (una normal tendría 0,27 %). La mayoría de las horas el precio casi no se mueve, pero unas pocas horas explican gran parte de la ganancia o la pérdida.</w:t>
      </w:r>
    </w:p>
    <w:p>
      <w:pPr>
        <w:pStyle w:val="Heading2"/>
        <w:keepNext/>
      </w:pPr>
      <w:r>
        <w:rPr>
          <w:rFonts w:ascii="Times New Roman" w:cs="Times New Roman" w:eastAsia="Times New Roman" w:hAnsi="Times New Roman"/>
        </w:rPr>
        <w:t xml:space="preserve">5.5. Volatilidad</w:t>
      </w:r>
    </w:p>
    <w:p>
      <w:pPr>
        <w:spacing w:after="140" w:line="300"/>
        <w:jc w:val="both"/>
      </w:pPr>
      <w:r>
        <w:rPr>
          <w:rFonts w:ascii="Times New Roman" w:cs="Times New Roman" w:eastAsia="Times New Roman" w:hAnsi="Times New Roman"/>
        </w:rPr>
        <w:t xml:space="preserve">La volatilidad de 24 horas tiene una media de 0,67 % y un máximo de 7,94 %; la de 168 horas, una media de 0,72 % y un máximo de 3,73 %. La volatilidad cambia mucho en el tiempo: hay episodios altos a finales de 2018, a mediados de 2019, en marzo de 2020 (el máximo de la serie) y en varios momentos de 2021, separados por periodos tranquilos.</w:t>
      </w:r>
    </w:p>
    <w:p>
      <w:pPr>
        <w:pStyle w:val="Heading2"/>
        <w:keepNext/>
      </w:pPr>
      <w:r>
        <w:rPr>
          <w:rFonts w:ascii="Times New Roman" w:cs="Times New Roman" w:eastAsia="Times New Roman" w:hAnsi="Times New Roman"/>
        </w:rPr>
        <w:t xml:space="preserve">5.6. Tendencias y periodos de caída</w:t>
      </w:r>
    </w:p>
    <w:p>
      <w:pPr>
        <w:keepNext/>
        <w:spacing w:after="40" w:before="160"/>
      </w:pPr>
      <w:r>
        <w:rPr>
          <w:rFonts w:ascii="Times New Roman" w:cs="Times New Roman" w:eastAsia="Times New Roman" w:hAnsi="Times New Roman"/>
          <w:b/>
          <w:bCs/>
        </w:rPr>
        <w:t xml:space="preserve">Tabla 4</w:t>
      </w:r>
    </w:p>
    <w:p>
      <w:pPr>
        <w:keepNext/>
        <w:spacing w:after="100"/>
      </w:pPr>
      <w:r>
        <w:rPr>
          <w:rFonts w:ascii="Times New Roman" w:cs="Times New Roman" w:eastAsia="Times New Roman" w:hAnsi="Times New Roman"/>
          <w:i/>
          <w:iCs/>
        </w:rPr>
        <w:t xml:space="preserve">Variación del precio por año</w:t>
      </w:r>
    </w:p>
    <w:tbl>
      <w:tblPr>
        <w:tblW w:type="dxa" w:w="8838"/>
        <w:tblBorders>
          <w:top w:val="single" w:color="auto" w:sz="4"/>
          <w:left w:val="single" w:color="auto" w:sz="4"/>
          <w:bottom w:val="single" w:color="auto" w:sz="4"/>
          <w:right w:val="single" w:color="auto" w:sz="4"/>
          <w:insideH w:val="single" w:color="auto" w:sz="4"/>
          <w:insideV w:val="single" w:color="auto" w:sz="4"/>
        </w:tblBorders>
      </w:tblPr>
      <w:tblGrid>
        <w:gridCol w:w="2838"/>
        <w:gridCol w:w="2000"/>
        <w:gridCol w:w="2000"/>
        <w:gridCol w:w="2000"/>
      </w:tblGrid>
      <w:tr>
        <w:trPr>
          <w:tblHeader/>
        </w:trPr>
        <w:tc>
          <w:tcPr>
            <w:tcW w:type="dxa" w:w="2838"/>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19"/>
                <w:szCs w:val="19"/>
              </w:rPr>
              <w:t xml:space="preserve">Año</w:t>
            </w:r>
          </w:p>
        </w:tc>
        <w:tc>
          <w:tcPr>
            <w:tcW w:type="dxa" w:w="2000"/>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19"/>
                <w:szCs w:val="19"/>
              </w:rPr>
              <w:t xml:space="preserve">Primer cierre (USD)</w:t>
            </w:r>
          </w:p>
        </w:tc>
        <w:tc>
          <w:tcPr>
            <w:tcW w:type="dxa" w:w="2000"/>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19"/>
                <w:szCs w:val="19"/>
              </w:rPr>
              <w:t xml:space="preserve">Último cierre (USD)</w:t>
            </w:r>
          </w:p>
        </w:tc>
        <w:tc>
          <w:tcPr>
            <w:tcW w:type="dxa" w:w="2000"/>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19"/>
                <w:szCs w:val="19"/>
              </w:rPr>
              <w:t xml:space="preserve">Variación</w:t>
            </w:r>
          </w:p>
        </w:tc>
      </w:tr>
      <w:tr>
        <w:trPr>
          <w:cantSplit/>
        </w:trPr>
        <w:tc>
          <w:tcPr>
            <w:tcW w:type="dxa" w:w="28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19"/>
                <w:szCs w:val="19"/>
              </w:rPr>
              <w:t xml:space="preserve">2018 (desde mayo)</w:t>
            </w:r>
          </w:p>
        </w:tc>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right"/>
            </w:pPr>
            <w:r>
              <w:rPr>
                <w:rFonts w:ascii="Times New Roman" w:cs="Times New Roman" w:eastAsia="Times New Roman" w:hAnsi="Times New Roman"/>
                <w:b w:val="false"/>
                <w:bCs w:val="false"/>
                <w:sz w:val="19"/>
                <w:szCs w:val="19"/>
              </w:rPr>
              <w:t xml:space="preserve">8.740,99</w:t>
            </w:r>
          </w:p>
        </w:tc>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right"/>
            </w:pPr>
            <w:r>
              <w:rPr>
                <w:rFonts w:ascii="Times New Roman" w:cs="Times New Roman" w:eastAsia="Times New Roman" w:hAnsi="Times New Roman"/>
                <w:b w:val="false"/>
                <w:bCs w:val="false"/>
                <w:sz w:val="19"/>
                <w:szCs w:val="19"/>
              </w:rPr>
              <w:t xml:space="preserve">3.693,30</w:t>
            </w:r>
          </w:p>
        </w:tc>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right"/>
            </w:pPr>
            <w:r>
              <w:rPr>
                <w:rFonts w:ascii="Times New Roman" w:cs="Times New Roman" w:eastAsia="Times New Roman" w:hAnsi="Times New Roman"/>
                <w:b w:val="false"/>
                <w:bCs w:val="false"/>
                <w:sz w:val="19"/>
                <w:szCs w:val="19"/>
              </w:rPr>
              <w:t xml:space="preserve">−57,75 %</w:t>
            </w:r>
          </w:p>
        </w:tc>
      </w:tr>
      <w:tr>
        <w:trPr>
          <w:cantSplit/>
        </w:trPr>
        <w:tc>
          <w:tcPr>
            <w:tcW w:type="dxa" w:w="28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19"/>
                <w:szCs w:val="19"/>
              </w:rPr>
              <w:t xml:space="preserve">2019</w:t>
            </w:r>
          </w:p>
        </w:tc>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right"/>
            </w:pPr>
            <w:r>
              <w:rPr>
                <w:rFonts w:ascii="Times New Roman" w:cs="Times New Roman" w:eastAsia="Times New Roman" w:hAnsi="Times New Roman"/>
                <w:b w:val="false"/>
                <w:bCs w:val="false"/>
                <w:sz w:val="19"/>
                <w:szCs w:val="19"/>
              </w:rPr>
              <w:t xml:space="preserve">3.693,83</w:t>
            </w:r>
          </w:p>
        </w:tc>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right"/>
            </w:pPr>
            <w:r>
              <w:rPr>
                <w:rFonts w:ascii="Times New Roman" w:cs="Times New Roman" w:eastAsia="Times New Roman" w:hAnsi="Times New Roman"/>
                <w:b w:val="false"/>
                <w:bCs w:val="false"/>
                <w:sz w:val="19"/>
                <w:szCs w:val="19"/>
              </w:rPr>
              <w:t xml:space="preserve">7.168,36</w:t>
            </w:r>
          </w:p>
        </w:tc>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right"/>
            </w:pPr>
            <w:r>
              <w:rPr>
                <w:rFonts w:ascii="Times New Roman" w:cs="Times New Roman" w:eastAsia="Times New Roman" w:hAnsi="Times New Roman"/>
                <w:b w:val="false"/>
                <w:bCs w:val="false"/>
                <w:sz w:val="19"/>
                <w:szCs w:val="19"/>
              </w:rPr>
              <w:t xml:space="preserve">+94,06 %</w:t>
            </w:r>
          </w:p>
        </w:tc>
      </w:tr>
      <w:tr>
        <w:trPr>
          <w:cantSplit/>
        </w:trPr>
        <w:tc>
          <w:tcPr>
            <w:tcW w:type="dxa" w:w="28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19"/>
                <w:szCs w:val="19"/>
              </w:rPr>
              <w:t xml:space="preserve">2020</w:t>
            </w:r>
          </w:p>
        </w:tc>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right"/>
            </w:pPr>
            <w:r>
              <w:rPr>
                <w:rFonts w:ascii="Times New Roman" w:cs="Times New Roman" w:eastAsia="Times New Roman" w:hAnsi="Times New Roman"/>
                <w:b w:val="false"/>
                <w:bCs w:val="false"/>
                <w:sz w:val="19"/>
                <w:szCs w:val="19"/>
              </w:rPr>
              <w:t xml:space="preserve">7.150,00</w:t>
            </w:r>
          </w:p>
        </w:tc>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right"/>
            </w:pPr>
            <w:r>
              <w:rPr>
                <w:rFonts w:ascii="Times New Roman" w:cs="Times New Roman" w:eastAsia="Times New Roman" w:hAnsi="Times New Roman"/>
                <w:b w:val="false"/>
                <w:bCs w:val="false"/>
                <w:sz w:val="19"/>
                <w:szCs w:val="19"/>
              </w:rPr>
              <w:t xml:space="preserve">28.992,79</w:t>
            </w:r>
          </w:p>
        </w:tc>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right"/>
            </w:pPr>
            <w:r>
              <w:rPr>
                <w:rFonts w:ascii="Times New Roman" w:cs="Times New Roman" w:eastAsia="Times New Roman" w:hAnsi="Times New Roman"/>
                <w:b w:val="false"/>
                <w:bCs w:val="false"/>
                <w:sz w:val="19"/>
                <w:szCs w:val="19"/>
              </w:rPr>
              <w:t xml:space="preserve">+305,49 %</w:t>
            </w:r>
          </w:p>
        </w:tc>
      </w:tr>
      <w:tr>
        <w:trPr>
          <w:cantSplit/>
        </w:trPr>
        <w:tc>
          <w:tcPr>
            <w:tcW w:type="dxa" w:w="28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19"/>
                <w:szCs w:val="19"/>
              </w:rPr>
              <w:t xml:space="preserve">2021</w:t>
            </w:r>
          </w:p>
        </w:tc>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right"/>
            </w:pPr>
            <w:r>
              <w:rPr>
                <w:rFonts w:ascii="Times New Roman" w:cs="Times New Roman" w:eastAsia="Times New Roman" w:hAnsi="Times New Roman"/>
                <w:b w:val="false"/>
                <w:bCs w:val="false"/>
                <w:sz w:val="19"/>
                <w:szCs w:val="19"/>
              </w:rPr>
              <w:t xml:space="preserve">29.056,94</w:t>
            </w:r>
          </w:p>
        </w:tc>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right"/>
            </w:pPr>
            <w:r>
              <w:rPr>
                <w:rFonts w:ascii="Times New Roman" w:cs="Times New Roman" w:eastAsia="Times New Roman" w:hAnsi="Times New Roman"/>
                <w:b w:val="false"/>
                <w:bCs w:val="false"/>
                <w:sz w:val="19"/>
                <w:szCs w:val="19"/>
              </w:rPr>
              <w:t xml:space="preserve">46.214,37</w:t>
            </w:r>
          </w:p>
        </w:tc>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right"/>
            </w:pPr>
            <w:r>
              <w:rPr>
                <w:rFonts w:ascii="Times New Roman" w:cs="Times New Roman" w:eastAsia="Times New Roman" w:hAnsi="Times New Roman"/>
                <w:b w:val="false"/>
                <w:bCs w:val="false"/>
                <w:sz w:val="19"/>
                <w:szCs w:val="19"/>
              </w:rPr>
              <w:t xml:space="preserve">+59,05 %</w:t>
            </w:r>
          </w:p>
        </w:tc>
      </w:tr>
      <w:tr>
        <w:trPr>
          <w:cantSplit/>
        </w:trPr>
        <w:tc>
          <w:tcPr>
            <w:tcW w:type="dxa" w:w="28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19"/>
                <w:szCs w:val="19"/>
              </w:rPr>
              <w:t xml:space="preserve">2022 (enero y febrero)</w:t>
            </w:r>
          </w:p>
        </w:tc>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right"/>
            </w:pPr>
            <w:r>
              <w:rPr>
                <w:rFonts w:ascii="Times New Roman" w:cs="Times New Roman" w:eastAsia="Times New Roman" w:hAnsi="Times New Roman"/>
                <w:b w:val="false"/>
                <w:bCs w:val="false"/>
                <w:sz w:val="19"/>
                <w:szCs w:val="19"/>
              </w:rPr>
              <w:t xml:space="preserve">46.650,66</w:t>
            </w:r>
          </w:p>
        </w:tc>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right"/>
            </w:pPr>
            <w:r>
              <w:rPr>
                <w:rFonts w:ascii="Times New Roman" w:cs="Times New Roman" w:eastAsia="Times New Roman" w:hAnsi="Times New Roman"/>
                <w:b w:val="false"/>
                <w:bCs w:val="false"/>
                <w:sz w:val="19"/>
                <w:szCs w:val="19"/>
              </w:rPr>
              <w:t xml:space="preserve">43.312,27</w:t>
            </w:r>
          </w:p>
        </w:tc>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right"/>
            </w:pPr>
            <w:r>
              <w:rPr>
                <w:rFonts w:ascii="Times New Roman" w:cs="Times New Roman" w:eastAsia="Times New Roman" w:hAnsi="Times New Roman"/>
                <w:b w:val="false"/>
                <w:bCs w:val="false"/>
                <w:sz w:val="19"/>
                <w:szCs w:val="19"/>
              </w:rPr>
              <w:t xml:space="preserve">−7,16 %</w:t>
            </w:r>
          </w:p>
        </w:tc>
      </w:tr>
    </w:tbl>
    <w:p>
      <w:pPr>
        <w:spacing w:after="120"/>
      </w:pPr>
    </w:p>
    <w:p>
      <w:pPr>
        <w:spacing w:after="140" w:line="300"/>
        <w:jc w:val="both"/>
      </w:pPr>
      <w:r>
        <w:rPr>
          <w:rFonts w:ascii="Times New Roman" w:cs="Times New Roman" w:eastAsia="Times New Roman" w:hAnsi="Times New Roman"/>
        </w:rPr>
        <w:t xml:space="preserve">La serie alterna tendencias muy distintas: caída en 2018, recuperación en 2019, desplome en marzo de 2020 (la peor caída desde un máximo fue de −70,29 %, el 13 de marzo de 2020) y subida fuerte desde finales de 2020, con una corrección a finales de 2021. Este cambio de comportamiento es central para el proyecto: lo que el agente aprenda en una etapa puede no servir en la siguiente.</w:t>
      </w:r>
    </w:p>
    <w:p>
      <w:pPr>
        <w:pStyle w:val="Heading2"/>
        <w:keepNext/>
      </w:pPr>
      <w:r>
        <w:rPr>
          <w:rFonts w:ascii="Times New Roman" w:cs="Times New Roman" w:eastAsia="Times New Roman" w:hAnsi="Times New Roman"/>
        </w:rPr>
        <w:t xml:space="preserve">5.7. Volumen de negociación</w:t>
      </w:r>
    </w:p>
    <w:p>
      <w:pPr>
        <w:spacing w:after="140" w:line="300"/>
        <w:jc w:val="both"/>
      </w:pPr>
      <w:r>
        <w:rPr>
          <w:rFonts w:ascii="Times New Roman" w:cs="Times New Roman" w:eastAsia="Times New Roman" w:hAnsi="Times New Roman"/>
        </w:rPr>
        <w:t xml:space="preserve">En el análisis del volumen aparece un «cambio de escala» en octubre de 2020: el promedio semanal pasa de 1,97 millones a unos cientos. Al revisarlo fila a fila se encontró la causa: hasta el 12 de octubre de 2020 la fuente trae </w:t>
      </w:r>
      <w:r>
        <w:rPr>
          <w:rFonts w:ascii="Times New Roman" w:cs="Times New Roman" w:eastAsia="Times New Roman" w:hAnsi="Times New Roman"/>
          <w:b/>
          <w:bCs/>
        </w:rPr>
        <w:t xml:space="preserve">intercambiadas</w:t>
      </w:r>
      <w:r>
        <w:rPr>
          <w:rFonts w:ascii="Times New Roman" w:cs="Times New Roman" w:eastAsia="Times New Roman" w:hAnsi="Times New Roman"/>
        </w:rPr>
        <w:t xml:space="preserve"> las columnas </w:t>
      </w:r>
      <w:r>
        <w:rPr>
          <w:rFonts w:ascii="Consolas" w:cs="Consolas" w:eastAsia="Consolas" w:hAnsi="Consolas"/>
          <w:sz w:val="21"/>
          <w:szCs w:val="21"/>
        </w:rPr>
        <w:t xml:space="preserve">volume</w:t>
      </w:r>
      <w:r>
        <w:rPr>
          <w:rFonts w:ascii="Times New Roman" w:cs="Times New Roman" w:eastAsia="Times New Roman" w:hAnsi="Times New Roman"/>
        </w:rPr>
        <w:t xml:space="preserve"> y </w:t>
      </w:r>
      <w:r>
        <w:rPr>
          <w:rFonts w:ascii="Consolas" w:cs="Consolas" w:eastAsia="Consolas" w:hAnsi="Consolas"/>
          <w:sz w:val="21"/>
          <w:szCs w:val="21"/>
        </w:rPr>
        <w:t xml:space="preserve">Volume USD</w:t>
      </w:r>
      <w:r>
        <w:rPr>
          <w:rFonts w:ascii="Times New Roman" w:cs="Times New Roman" w:eastAsia="Times New Roman" w:hAnsi="Times New Roman"/>
        </w:rPr>
        <w:t xml:space="preserve">. Antes de esa fecha se cumple que </w:t>
      </w:r>
      <w:r>
        <w:rPr>
          <w:rFonts w:ascii="Consolas" w:cs="Consolas" w:eastAsia="Consolas" w:hAnsi="Consolas"/>
          <w:sz w:val="21"/>
          <w:szCs w:val="21"/>
        </w:rPr>
        <w:t xml:space="preserve">volume</w:t>
      </w:r>
      <w:r>
        <w:rPr>
          <w:rFonts w:ascii="Times New Roman" w:cs="Times New Roman" w:eastAsia="Times New Roman" w:hAnsi="Times New Roman"/>
        </w:rPr>
        <w:t xml:space="preserve"> ≈ </w:t>
      </w:r>
      <w:r>
        <w:rPr>
          <w:rFonts w:ascii="Consolas" w:cs="Consolas" w:eastAsia="Consolas" w:hAnsi="Consolas"/>
          <w:sz w:val="21"/>
          <w:szCs w:val="21"/>
        </w:rPr>
        <w:t xml:space="preserve">Volume USD</w:t>
      </w:r>
      <w:r>
        <w:rPr>
          <w:rFonts w:ascii="Times New Roman" w:cs="Times New Roman" w:eastAsia="Times New Roman" w:hAnsi="Times New Roman"/>
        </w:rPr>
        <w:t xml:space="preserve"> × precio de cierre (es decir, </w:t>
      </w:r>
      <w:r>
        <w:rPr>
          <w:rFonts w:ascii="Consolas" w:cs="Consolas" w:eastAsia="Consolas" w:hAnsi="Consolas"/>
          <w:sz w:val="21"/>
          <w:szCs w:val="21"/>
        </w:rPr>
        <w:t xml:space="preserve">volume</w:t>
      </w:r>
      <w:r>
        <w:rPr>
          <w:rFonts w:ascii="Times New Roman" w:cs="Times New Roman" w:eastAsia="Times New Roman" w:hAnsi="Times New Roman"/>
        </w:rPr>
        <w:t xml:space="preserve"> está en dólares). Después ocurre lo contrario, como debe ser. La única excepción es un tramo de unas 1.000 horas entre el 3 de marzo y el 13 de abril de 2019. Aunque la causa ya se conoce, el volumen se mantiene fuera del estado: corregirlo exigiría reconstruir la columna con una regla propia y su utilidad no se analizó.</w:t>
      </w:r>
    </w:p>
    <w:p>
      <w:pPr>
        <w:pStyle w:val="Heading2"/>
        <w:keepNext/>
      </w:pPr>
      <w:r>
        <w:rPr>
          <w:rFonts w:ascii="Times New Roman" w:cs="Times New Roman" w:eastAsia="Times New Roman" w:hAnsi="Times New Roman"/>
        </w:rPr>
        <w:t xml:space="preserve">5.8. Qué anticipa el estado</w:t>
      </w:r>
    </w:p>
    <w:p>
      <w:pPr>
        <w:spacing w:after="140" w:line="300"/>
        <w:jc w:val="both"/>
      </w:pPr>
      <w:r>
        <w:rPr>
          <w:rFonts w:ascii="Times New Roman" w:cs="Times New Roman" w:eastAsia="Times New Roman" w:hAnsi="Times New Roman"/>
        </w:rPr>
        <w:t xml:space="preserve">Esta revisión se hizo </w:t>
      </w:r>
      <w:r>
        <w:rPr>
          <w:rFonts w:ascii="Times New Roman" w:cs="Times New Roman" w:eastAsia="Times New Roman" w:hAnsi="Times New Roman"/>
          <w:b/>
          <w:bCs/>
        </w:rPr>
        <w:t xml:space="preserve">solo con el periodo de ajuste</w:t>
      </w:r>
      <w:r>
        <w:rPr>
          <w:rFonts w:ascii="Times New Roman" w:cs="Times New Roman" w:eastAsia="Times New Roman" w:hAnsi="Times New Roman"/>
        </w:rPr>
        <w:t xml:space="preserve">, para no usar la validación ni la prueba al diseñar el agente. Se midió la correlación de cada indicador en la hora </w:t>
      </w:r>
      <w:r>
        <w:rPr>
          <w:rFonts w:ascii="Times New Roman" w:cs="Times New Roman" w:eastAsia="Times New Roman" w:hAnsi="Times New Roman"/>
          <w:i/>
          <w:iCs/>
        </w:rPr>
        <w:t xml:space="preserve">t</w:t>
      </w:r>
      <w:r>
        <w:rPr>
          <w:rFonts w:ascii="Times New Roman" w:cs="Times New Roman" w:eastAsia="Times New Roman" w:hAnsi="Times New Roman"/>
        </w:rPr>
        <w:t xml:space="preserve"> con el retorno de la hora siguiente y con su tamaño (valor absoluto).</w:t>
      </w:r>
    </w:p>
    <w:p>
      <w:pPr>
        <w:keepNext/>
        <w:spacing w:after="40" w:before="160"/>
      </w:pPr>
      <w:r>
        <w:rPr>
          <w:rFonts w:ascii="Times New Roman" w:cs="Times New Roman" w:eastAsia="Times New Roman" w:hAnsi="Times New Roman"/>
          <w:b/>
          <w:bCs/>
        </w:rPr>
        <w:t xml:space="preserve">Tabla 5</w:t>
      </w:r>
    </w:p>
    <w:p>
      <w:pPr>
        <w:keepNext/>
        <w:spacing w:after="100"/>
      </w:pPr>
      <w:r>
        <w:rPr>
          <w:rFonts w:ascii="Times New Roman" w:cs="Times New Roman" w:eastAsia="Times New Roman" w:hAnsi="Times New Roman"/>
          <w:i/>
          <w:iCs/>
        </w:rPr>
        <w:t xml:space="preserve">Correlación de los indicadores con la hora siguiente (periodo de ajuste)</w:t>
      </w:r>
    </w:p>
    <w:tbl>
      <w:tblPr>
        <w:tblW w:type="dxa" w:w="8838"/>
        <w:tblBorders>
          <w:top w:val="single" w:color="auto" w:sz="4"/>
          <w:left w:val="single" w:color="auto" w:sz="4"/>
          <w:bottom w:val="single" w:color="auto" w:sz="4"/>
          <w:right w:val="single" w:color="auto" w:sz="4"/>
          <w:insideH w:val="single" w:color="auto" w:sz="4"/>
          <w:insideV w:val="single" w:color="auto" w:sz="4"/>
        </w:tblBorders>
      </w:tblPr>
      <w:tblGrid>
        <w:gridCol w:w="2838"/>
        <w:gridCol w:w="3000"/>
        <w:gridCol w:w="3000"/>
      </w:tblGrid>
      <w:tr>
        <w:trPr>
          <w:tblHeader/>
        </w:trPr>
        <w:tc>
          <w:tcPr>
            <w:tcW w:type="dxa" w:w="2838"/>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19"/>
                <w:szCs w:val="19"/>
              </w:rPr>
              <w:t xml:space="preserve">Indicador</w:t>
            </w:r>
          </w:p>
        </w:tc>
        <w:tc>
          <w:tcPr>
            <w:tcW w:type="dxa" w:w="3000"/>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19"/>
                <w:szCs w:val="19"/>
              </w:rPr>
              <w:t xml:space="preserve">Con el retorno siguiente</w:t>
            </w:r>
          </w:p>
        </w:tc>
        <w:tc>
          <w:tcPr>
            <w:tcW w:type="dxa" w:w="3000"/>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19"/>
                <w:szCs w:val="19"/>
              </w:rPr>
              <w:t xml:space="preserve">Con el tamaño del retorno siguiente</w:t>
            </w:r>
          </w:p>
        </w:tc>
      </w:tr>
      <w:tr>
        <w:trPr>
          <w:cantSplit/>
        </w:trPr>
        <w:tc>
          <w:tcPr>
            <w:tcW w:type="dxa" w:w="28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left"/>
            </w:pPr>
            <w:r>
              <w:rPr>
                <w:rFonts w:ascii="Consolas" w:cs="Consolas" w:eastAsia="Consolas" w:hAnsi="Consolas"/>
                <w:sz w:val="16"/>
                <w:szCs w:val="16"/>
              </w:rPr>
              <w:t xml:space="preserve">return_24h</w:t>
            </w:r>
          </w:p>
        </w:tc>
        <w:tc>
          <w:tcPr>
            <w:tcW w:type="dxa" w:w="3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right"/>
            </w:pPr>
            <w:r>
              <w:rPr>
                <w:rFonts w:ascii="Times New Roman" w:cs="Times New Roman" w:eastAsia="Times New Roman" w:hAnsi="Times New Roman"/>
                <w:b w:val="false"/>
                <w:bCs w:val="false"/>
                <w:sz w:val="19"/>
                <w:szCs w:val="19"/>
              </w:rPr>
              <w:t xml:space="preserve">−0,006</w:t>
            </w:r>
          </w:p>
        </w:tc>
        <w:tc>
          <w:tcPr>
            <w:tcW w:type="dxa" w:w="3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right"/>
            </w:pPr>
            <w:r>
              <w:rPr>
                <w:rFonts w:ascii="Times New Roman" w:cs="Times New Roman" w:eastAsia="Times New Roman" w:hAnsi="Times New Roman"/>
                <w:b w:val="false"/>
                <w:bCs w:val="false"/>
                <w:sz w:val="19"/>
                <w:szCs w:val="19"/>
              </w:rPr>
              <w:t xml:space="preserve">−0,080</w:t>
            </w:r>
          </w:p>
        </w:tc>
      </w:tr>
      <w:tr>
        <w:trPr>
          <w:cantSplit/>
        </w:trPr>
        <w:tc>
          <w:tcPr>
            <w:tcW w:type="dxa" w:w="28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left"/>
            </w:pPr>
            <w:r>
              <w:rPr>
                <w:rFonts w:ascii="Consolas" w:cs="Consolas" w:eastAsia="Consolas" w:hAnsi="Consolas"/>
                <w:sz w:val="16"/>
                <w:szCs w:val="16"/>
              </w:rPr>
              <w:t xml:space="preserve">price_vs_sma_24h</w:t>
            </w:r>
          </w:p>
        </w:tc>
        <w:tc>
          <w:tcPr>
            <w:tcW w:type="dxa" w:w="3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right"/>
            </w:pPr>
            <w:r>
              <w:rPr>
                <w:rFonts w:ascii="Times New Roman" w:cs="Times New Roman" w:eastAsia="Times New Roman" w:hAnsi="Times New Roman"/>
                <w:b w:val="false"/>
                <w:bCs w:val="false"/>
                <w:sz w:val="19"/>
                <w:szCs w:val="19"/>
              </w:rPr>
              <w:t xml:space="preserve">−0,006</w:t>
            </w:r>
          </w:p>
        </w:tc>
        <w:tc>
          <w:tcPr>
            <w:tcW w:type="dxa" w:w="3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right"/>
            </w:pPr>
            <w:r>
              <w:rPr>
                <w:rFonts w:ascii="Times New Roman" w:cs="Times New Roman" w:eastAsia="Times New Roman" w:hAnsi="Times New Roman"/>
                <w:b w:val="false"/>
                <w:bCs w:val="false"/>
                <w:sz w:val="19"/>
                <w:szCs w:val="19"/>
              </w:rPr>
              <w:t xml:space="preserve">−0,089</w:t>
            </w:r>
          </w:p>
        </w:tc>
      </w:tr>
      <w:tr>
        <w:trPr>
          <w:cantSplit/>
        </w:trPr>
        <w:tc>
          <w:tcPr>
            <w:tcW w:type="dxa" w:w="28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left"/>
            </w:pPr>
            <w:r>
              <w:rPr>
                <w:rFonts w:ascii="Consolas" w:cs="Consolas" w:eastAsia="Consolas" w:hAnsi="Consolas"/>
                <w:sz w:val="16"/>
                <w:szCs w:val="16"/>
              </w:rPr>
              <w:t xml:space="preserve">volatility_24h</w:t>
            </w:r>
          </w:p>
        </w:tc>
        <w:tc>
          <w:tcPr>
            <w:tcW w:type="dxa" w:w="3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right"/>
            </w:pPr>
            <w:r>
              <w:rPr>
                <w:rFonts w:ascii="Times New Roman" w:cs="Times New Roman" w:eastAsia="Times New Roman" w:hAnsi="Times New Roman"/>
                <w:b w:val="false"/>
                <w:bCs w:val="false"/>
                <w:sz w:val="19"/>
                <w:szCs w:val="19"/>
              </w:rPr>
              <w:t xml:space="preserve">−0,003</w:t>
            </w:r>
          </w:p>
        </w:tc>
        <w:tc>
          <w:tcPr>
            <w:tcW w:type="dxa" w:w="3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right"/>
            </w:pPr>
            <w:r>
              <w:rPr>
                <w:rFonts w:ascii="Times New Roman" w:cs="Times New Roman" w:eastAsia="Times New Roman" w:hAnsi="Times New Roman"/>
                <w:b w:val="false"/>
                <w:bCs w:val="false"/>
                <w:sz w:val="19"/>
                <w:szCs w:val="19"/>
              </w:rPr>
              <w:t xml:space="preserve">0,366</w:t>
            </w:r>
          </w:p>
        </w:tc>
      </w:tr>
    </w:tbl>
    <w:p>
      <w:pPr>
        <w:spacing w:after="120"/>
      </w:pPr>
    </w:p>
    <w:p>
      <w:pPr>
        <w:spacing w:after="140" w:line="300"/>
        <w:jc w:val="both"/>
      </w:pPr>
      <w:r>
        <w:rPr>
          <w:rFonts w:ascii="Times New Roman" w:cs="Times New Roman" w:eastAsia="Times New Roman" w:hAnsi="Times New Roman"/>
        </w:rPr>
        <w:t xml:space="preserve">Ningún indicador anticipa la </w:t>
      </w:r>
      <w:r>
        <w:rPr>
          <w:rFonts w:ascii="Times New Roman" w:cs="Times New Roman" w:eastAsia="Times New Roman" w:hAnsi="Times New Roman"/>
          <w:b/>
          <w:bCs/>
        </w:rPr>
        <w:t xml:space="preserve">dirección</w:t>
      </w:r>
      <w:r>
        <w:rPr>
          <w:rFonts w:ascii="Times New Roman" w:cs="Times New Roman" w:eastAsia="Times New Roman" w:hAnsi="Times New Roman"/>
        </w:rPr>
        <w:t xml:space="preserve"> del precio. La volatilidad reciente sí anticipa el </w:t>
      </w:r>
      <w:r>
        <w:rPr>
          <w:rFonts w:ascii="Times New Roman" w:cs="Times New Roman" w:eastAsia="Times New Roman" w:hAnsi="Times New Roman"/>
          <w:b/>
          <w:bCs/>
        </w:rPr>
        <w:t xml:space="preserve">tamaño</w:t>
      </w:r>
      <w:r>
        <w:rPr>
          <w:rFonts w:ascii="Times New Roman" w:cs="Times New Roman" w:eastAsia="Times New Roman" w:hAnsi="Times New Roman"/>
        </w:rPr>
        <w:t xml:space="preserve"> del siguiente movimiento. Además, en el periodo de ajuste el retorno medio por hora fue apenas 0,0007 veces su desviación estándar: la tendencia era casi nula frente al ruido. Estas dos observaciones explican buena parte del comportamiento del agente y guiaron el diseño de la recompensa (sección 7).</w:t>
      </w:r>
    </w:p>
    <w:p>
      <w:pPr>
        <w:pStyle w:val="Heading2"/>
        <w:keepNext/>
      </w:pPr>
      <w:r>
        <w:rPr>
          <w:rFonts w:ascii="Times New Roman" w:cs="Times New Roman" w:eastAsia="Times New Roman" w:hAnsi="Times New Roman"/>
        </w:rPr>
        <w:t xml:space="preserve">5.9. Base analítica y división temporal</w:t>
      </w:r>
    </w:p>
    <w:p>
      <w:pPr>
        <w:spacing w:after="140" w:line="300"/>
        <w:jc w:val="both"/>
      </w:pPr>
      <w:r>
        <w:rPr>
          <w:rFonts w:ascii="Times New Roman" w:cs="Times New Roman" w:eastAsia="Times New Roman" w:hAnsi="Times New Roman"/>
        </w:rPr>
        <w:t xml:space="preserve">Las primeras 24 horas no tienen historia suficiente para los indicadores y se eliminaron, sin rellenar con ceros ni interpolar. La base final tiene 33.235 horas. Se dividió en orden cronológico, sin mezclar: el 70 % inicial es entrenamiento y el 30 % final es prueba. Dentro del entrenamiento, el 20 % final se reserva como validación para elegir la versión del agente.</w:t>
      </w:r>
    </w:p>
    <w:p>
      <w:pPr>
        <w:keepNext/>
        <w:spacing w:after="40" w:before="160"/>
      </w:pPr>
      <w:r>
        <w:rPr>
          <w:rFonts w:ascii="Times New Roman" w:cs="Times New Roman" w:eastAsia="Times New Roman" w:hAnsi="Times New Roman"/>
          <w:b/>
          <w:bCs/>
        </w:rPr>
        <w:t xml:space="preserve">Tabla 6</w:t>
      </w:r>
    </w:p>
    <w:p>
      <w:pPr>
        <w:keepNext/>
        <w:spacing w:after="100"/>
      </w:pPr>
      <w:r>
        <w:rPr>
          <w:rFonts w:ascii="Times New Roman" w:cs="Times New Roman" w:eastAsia="Times New Roman" w:hAnsi="Times New Roman"/>
          <w:i/>
          <w:iCs/>
        </w:rPr>
        <w:t xml:space="preserve">División de los datos</w:t>
      </w:r>
    </w:p>
    <w:tbl>
      <w:tblPr>
        <w:tblW w:type="dxa" w:w="8838"/>
        <w:tblBorders>
          <w:top w:val="single" w:color="auto" w:sz="4"/>
          <w:left w:val="single" w:color="auto" w:sz="4"/>
          <w:bottom w:val="single" w:color="auto" w:sz="4"/>
          <w:right w:val="single" w:color="auto" w:sz="4"/>
          <w:insideH w:val="single" w:color="auto" w:sz="4"/>
          <w:insideV w:val="single" w:color="auto" w:sz="4"/>
        </w:tblBorders>
      </w:tblPr>
      <w:tblGrid>
        <w:gridCol w:w="1300"/>
        <w:gridCol w:w="900"/>
        <w:gridCol w:w="2900"/>
        <w:gridCol w:w="2100"/>
        <w:gridCol w:w="1638"/>
      </w:tblGrid>
      <w:tr>
        <w:trPr>
          <w:tblHeader/>
        </w:trPr>
        <w:tc>
          <w:tcPr>
            <w:tcW w:type="dxa" w:w="1300"/>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19"/>
                <w:szCs w:val="19"/>
              </w:rPr>
              <w:t xml:space="preserve">Periodo</w:t>
            </w:r>
          </w:p>
        </w:tc>
        <w:tc>
          <w:tcPr>
            <w:tcW w:type="dxa" w:w="900"/>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19"/>
                <w:szCs w:val="19"/>
              </w:rPr>
              <w:t xml:space="preserve">Horas</w:t>
            </w:r>
          </w:p>
        </w:tc>
        <w:tc>
          <w:tcPr>
            <w:tcW w:type="dxa" w:w="2900"/>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19"/>
                <w:szCs w:val="19"/>
              </w:rPr>
              <w:t xml:space="preserve">Fechas (UTC)</w:t>
            </w:r>
          </w:p>
        </w:tc>
        <w:tc>
          <w:tcPr>
            <w:tcW w:type="dxa" w:w="2100"/>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19"/>
                <w:szCs w:val="19"/>
              </w:rPr>
              <w:t xml:space="preserve">Precio inicial → final (USD)</w:t>
            </w:r>
          </w:p>
        </w:tc>
        <w:tc>
          <w:tcPr>
            <w:tcW w:type="dxa" w:w="1638"/>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19"/>
                <w:szCs w:val="19"/>
              </w:rPr>
              <w:t xml:space="preserve">Uso</w:t>
            </w:r>
          </w:p>
        </w:tc>
      </w:tr>
      <w:tr>
        <w:trPr>
          <w:cantSplit/>
        </w:trPr>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19"/>
                <w:szCs w:val="19"/>
              </w:rPr>
              <w:t xml:space="preserve">Ajuste</w:t>
            </w:r>
          </w:p>
        </w:tc>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right"/>
            </w:pPr>
            <w:r>
              <w:rPr>
                <w:rFonts w:ascii="Times New Roman" w:cs="Times New Roman" w:eastAsia="Times New Roman" w:hAnsi="Times New Roman"/>
                <w:b w:val="false"/>
                <w:bCs w:val="false"/>
                <w:sz w:val="19"/>
                <w:szCs w:val="19"/>
              </w:rPr>
              <w:t xml:space="preserve">18.611</w:t>
            </w:r>
          </w:p>
        </w:tc>
        <w:tc>
          <w:tcPr>
            <w:tcW w:type="dxa" w:w="2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19"/>
                <w:szCs w:val="19"/>
              </w:rPr>
              <w:t xml:space="preserve">16/05/2018 06:00 – 29/06/2020 16:00</w:t>
            </w:r>
          </w:p>
        </w:tc>
        <w:tc>
          <w:tcPr>
            <w:tcW w:type="dxa" w:w="21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right"/>
            </w:pPr>
            <w:r>
              <w:rPr>
                <w:rFonts w:ascii="Times New Roman" w:cs="Times New Roman" w:eastAsia="Times New Roman" w:hAnsi="Times New Roman"/>
                <w:b w:val="false"/>
                <w:bCs w:val="false"/>
                <w:sz w:val="19"/>
                <w:szCs w:val="19"/>
              </w:rPr>
              <w:t xml:space="preserve">8.239 → 9.115</w:t>
            </w:r>
          </w:p>
        </w:tc>
        <w:tc>
          <w:tcPr>
            <w:tcW w:type="dxa" w:w="16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19"/>
                <w:szCs w:val="19"/>
              </w:rPr>
              <w:t xml:space="preserve">El agente aprende</w:t>
            </w:r>
          </w:p>
        </w:tc>
      </w:tr>
      <w:tr>
        <w:trPr>
          <w:cantSplit/>
        </w:trPr>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19"/>
                <w:szCs w:val="19"/>
              </w:rPr>
              <w:t xml:space="preserve">Validación</w:t>
            </w:r>
          </w:p>
        </w:tc>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right"/>
            </w:pPr>
            <w:r>
              <w:rPr>
                <w:rFonts w:ascii="Times New Roman" w:cs="Times New Roman" w:eastAsia="Times New Roman" w:hAnsi="Times New Roman"/>
                <w:b w:val="false"/>
                <w:bCs w:val="false"/>
                <w:sz w:val="19"/>
                <w:szCs w:val="19"/>
              </w:rPr>
              <w:t xml:space="preserve">4.653</w:t>
            </w:r>
          </w:p>
        </w:tc>
        <w:tc>
          <w:tcPr>
            <w:tcW w:type="dxa" w:w="2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19"/>
                <w:szCs w:val="19"/>
              </w:rPr>
              <w:t xml:space="preserve">29/06/2020 17:00 – 09/01/2021 13:00</w:t>
            </w:r>
          </w:p>
        </w:tc>
        <w:tc>
          <w:tcPr>
            <w:tcW w:type="dxa" w:w="21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right"/>
            </w:pPr>
            <w:r>
              <w:rPr>
                <w:rFonts w:ascii="Times New Roman" w:cs="Times New Roman" w:eastAsia="Times New Roman" w:hAnsi="Times New Roman"/>
                <w:b w:val="false"/>
                <w:bCs w:val="false"/>
                <w:sz w:val="19"/>
                <w:szCs w:val="19"/>
              </w:rPr>
              <w:t xml:space="preserve">9.154 → 41.133</w:t>
            </w:r>
          </w:p>
        </w:tc>
        <w:tc>
          <w:tcPr>
            <w:tcW w:type="dxa" w:w="16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19"/>
                <w:szCs w:val="19"/>
              </w:rPr>
              <w:t xml:space="preserve">Elegir la versión</w:t>
            </w:r>
          </w:p>
        </w:tc>
      </w:tr>
      <w:tr>
        <w:trPr>
          <w:cantSplit/>
        </w:trPr>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19"/>
                <w:szCs w:val="19"/>
              </w:rPr>
              <w:t xml:space="preserve">Prueba</w:t>
            </w:r>
          </w:p>
        </w:tc>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right"/>
            </w:pPr>
            <w:r>
              <w:rPr>
                <w:rFonts w:ascii="Times New Roman" w:cs="Times New Roman" w:eastAsia="Times New Roman" w:hAnsi="Times New Roman"/>
                <w:b w:val="false"/>
                <w:bCs w:val="false"/>
                <w:sz w:val="19"/>
                <w:szCs w:val="19"/>
              </w:rPr>
              <w:t xml:space="preserve">9.971</w:t>
            </w:r>
          </w:p>
        </w:tc>
        <w:tc>
          <w:tcPr>
            <w:tcW w:type="dxa" w:w="2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19"/>
                <w:szCs w:val="19"/>
              </w:rPr>
              <w:t xml:space="preserve">09/01/2021 14:00 – 01/03/2022 00:00</w:t>
            </w:r>
          </w:p>
        </w:tc>
        <w:tc>
          <w:tcPr>
            <w:tcW w:type="dxa" w:w="21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right"/>
            </w:pPr>
            <w:r>
              <w:rPr>
                <w:rFonts w:ascii="Times New Roman" w:cs="Times New Roman" w:eastAsia="Times New Roman" w:hAnsi="Times New Roman"/>
                <w:b w:val="false"/>
                <w:bCs w:val="false"/>
                <w:sz w:val="19"/>
                <w:szCs w:val="19"/>
              </w:rPr>
              <w:t xml:space="preserve">40.874 → 43.312</w:t>
            </w:r>
          </w:p>
        </w:tc>
        <w:tc>
          <w:tcPr>
            <w:tcW w:type="dxa" w:w="16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19"/>
                <w:szCs w:val="19"/>
              </w:rPr>
              <w:t xml:space="preserve">Evaluación final, una vez</w:t>
            </w:r>
          </w:p>
        </w:tc>
      </w:tr>
    </w:tbl>
    <w:p>
      <w:pPr>
        <w:spacing w:after="120"/>
      </w:pPr>
    </w:p>
    <w:p>
      <w:pPr>
        <w:keepNext/>
        <w:spacing w:after="40" w:before="160"/>
      </w:pPr>
      <w:r>
        <w:rPr>
          <w:rFonts w:ascii="Times New Roman" w:cs="Times New Roman" w:eastAsia="Times New Roman" w:hAnsi="Times New Roman"/>
          <w:b/>
          <w:bCs/>
        </w:rPr>
        <w:t xml:space="preserve">Figura 1</w:t>
      </w:r>
    </w:p>
    <w:p>
      <w:pPr>
        <w:keepNext/>
        <w:spacing w:after="100"/>
      </w:pPr>
      <w:r>
        <w:rPr>
          <w:rFonts w:ascii="Times New Roman" w:cs="Times New Roman" w:eastAsia="Times New Roman" w:hAnsi="Times New Roman"/>
          <w:i/>
          <w:iCs/>
        </w:rPr>
        <w:t xml:space="preserve">Precio de BTC/USD y división cronológica de los datos</w:t>
      </w:r>
    </w:p>
    <w:p>
      <w:pPr>
        <w:keepNext/>
        <w:spacing w:after="60"/>
        <w:jc w:val="center"/>
      </w:pPr>
      <w:r>
        <w:drawing>
          <wp:inline distT="0" distB="0" distL="0" distR="0">
            <wp:extent cx="5524500" cy="2181225"/>
            <wp:effectExtent t="0" r="0" b="0" l="0"/>
            <wp:docPr id="1" name="figura1" descr="Precio de BTC/USD y división cronológica de los datos" title="Precio de BTC/USD y división cronológica de los da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2181225"/>
                    </a:xfrm>
                    <a:prstGeom prst="rect">
                      <a:avLst/>
                    </a:prstGeom>
                  </pic:spPr>
                </pic:pic>
              </a:graphicData>
            </a:graphic>
          </wp:inline>
        </w:drawing>
      </w:r>
    </w:p>
    <w:p>
      <w:pPr>
        <w:spacing w:after="180"/>
        <w:jc w:val="both"/>
      </w:pPr>
      <w:r>
        <w:rPr>
          <w:rFonts w:ascii="Times New Roman" w:cs="Times New Roman" w:eastAsia="Times New Roman" w:hAnsi="Times New Roman"/>
          <w:i/>
          <w:iCs/>
          <w:sz w:val="19"/>
          <w:szCs w:val="19"/>
        </w:rPr>
        <w:t xml:space="preserve">Nota.</w:t>
      </w:r>
      <w:r>
        <w:rPr>
          <w:rFonts w:ascii="Times New Roman" w:cs="Times New Roman" w:eastAsia="Times New Roman" w:hAnsi="Times New Roman"/>
          <w:sz w:val="19"/>
          <w:szCs w:val="19"/>
        </w:rPr>
        <w:t xml:space="preserve"> Los tres periodos son muy distintos. En el ajuste el precio termina casi donde empezó, con una caída de hasta 70 % en el camino. En la validación se multiplica por 4,5. En la prueba sube hasta 68.627 USD (10 de noviembre de 2021) y vuelve a caer: termina apenas 6 % arriba.</w:t>
      </w:r>
    </w:p>
    <w:p>
      <w:pPr>
        <w:pStyle w:val="Heading2"/>
        <w:keepNext/>
      </w:pPr>
      <w:r>
        <w:rPr>
          <w:rFonts w:ascii="Times New Roman" w:cs="Times New Roman" w:eastAsia="Times New Roman" w:hAnsi="Times New Roman"/>
        </w:rPr>
        <w:t xml:space="preserve">5.10. Conclusiones del análisis exploratorio</w:t>
      </w:r>
    </w:p>
    <w:p>
      <w:pPr>
        <w:spacing w:after="140" w:line="300"/>
        <w:jc w:val="both"/>
      </w:pPr>
      <w:r>
        <w:rPr>
          <w:rFonts w:ascii="Times New Roman" w:cs="Times New Roman" w:eastAsia="Times New Roman" w:hAnsi="Times New Roman"/>
        </w:rPr>
        <w:t xml:space="preserve">Los datos son completos, regulares y consistentes. Los retornos tienen colas gruesas, la volatilidad se agrupa y el mercado pasa por etapas muy distintas. El estado usa tres indicadores relativos de 24 horas y la posición; el volumen queda fuera por un problema de la fuente ya identificado. El análisis descriptivo de las secciones 5.2 a 5.7 usa toda la serie; las decisiones de diseño que dependen de números (escalado y recompensas) se tomaron solo con el periodo de ajuste.</w:t>
      </w:r>
    </w:p>
    <w:p>
      <w:pPr>
        <w:pStyle w:val="Heading1"/>
        <w:keepNext/>
      </w:pPr>
      <w:r>
        <w:rPr>
          <w:rFonts w:ascii="Times New Roman" w:cs="Times New Roman" w:eastAsia="Times New Roman" w:hAnsi="Times New Roman"/>
        </w:rPr>
        <w:t xml:space="preserve">6. Diseño del entorno de inversión</w:t>
      </w:r>
    </w:p>
    <w:p>
      <w:pPr>
        <w:pStyle w:val="Heading2"/>
        <w:keepNext/>
      </w:pPr>
      <w:r>
        <w:rPr>
          <w:rFonts w:ascii="Times New Roman" w:cs="Times New Roman" w:eastAsia="Times New Roman" w:hAnsi="Times New Roman"/>
        </w:rPr>
        <w:t xml:space="preserve">6.1. Interfaz</w:t>
      </w:r>
    </w:p>
    <w:p>
      <w:pPr>
        <w:spacing w:after="140" w:line="300"/>
        <w:jc w:val="both"/>
      </w:pPr>
      <w:r>
        <w:rPr>
          <w:rFonts w:ascii="Times New Roman" w:cs="Times New Roman" w:eastAsia="Times New Roman" w:hAnsi="Times New Roman"/>
        </w:rPr>
        <w:t xml:space="preserve">El entorno (</w:t>
      </w:r>
      <w:r>
        <w:rPr>
          <w:rFonts w:ascii="Consolas" w:cs="Consolas" w:eastAsia="Consolas" w:hAnsi="Consolas"/>
          <w:sz w:val="21"/>
          <w:szCs w:val="21"/>
        </w:rPr>
        <w:t xml:space="preserve">src/environment.py</w:t>
      </w:r>
      <w:r>
        <w:rPr>
          <w:rFonts w:ascii="Times New Roman" w:cs="Times New Roman" w:eastAsia="Times New Roman" w:hAnsi="Times New Roman"/>
        </w:rPr>
        <w:t xml:space="preserve">) sigue la interfaz de Gymnasium (Farama Foundation, s. f.): </w:t>
      </w:r>
      <w:r>
        <w:rPr>
          <w:rFonts w:ascii="Consolas" w:cs="Consolas" w:eastAsia="Consolas" w:hAnsi="Consolas"/>
          <w:sz w:val="21"/>
          <w:szCs w:val="21"/>
        </w:rPr>
        <w:t xml:space="preserve">reset()</w:t>
      </w:r>
      <w:r>
        <w:rPr>
          <w:rFonts w:ascii="Times New Roman" w:cs="Times New Roman" w:eastAsia="Times New Roman" w:hAnsi="Times New Roman"/>
        </w:rPr>
        <w:t xml:space="preserve"> devuelve la primera observación y </w:t>
      </w:r>
      <w:r>
        <w:rPr>
          <w:rFonts w:ascii="Consolas" w:cs="Consolas" w:eastAsia="Consolas" w:hAnsi="Consolas"/>
          <w:sz w:val="21"/>
          <w:szCs w:val="21"/>
        </w:rPr>
        <w:t xml:space="preserve">step(acción)</w:t>
      </w:r>
      <w:r>
        <w:rPr>
          <w:rFonts w:ascii="Times New Roman" w:cs="Times New Roman" w:eastAsia="Times New Roman" w:hAnsi="Times New Roman"/>
        </w:rPr>
        <w:t xml:space="preserve"> devuelve la nueva observación, la recompensa, si el episodio terminó, si se truncó y un diccionario con información adicional. El espacio de observación es </w:t>
      </w:r>
      <w:r>
        <w:rPr>
          <w:rFonts w:ascii="Consolas" w:cs="Consolas" w:eastAsia="Consolas" w:hAnsi="Consolas"/>
          <w:sz w:val="21"/>
          <w:szCs w:val="21"/>
        </w:rPr>
        <w:t xml:space="preserve">Box(4,)</w:t>
      </w:r>
      <w:r>
        <w:rPr>
          <w:rFonts w:ascii="Times New Roman" w:cs="Times New Roman" w:eastAsia="Times New Roman" w:hAnsi="Times New Roman"/>
        </w:rPr>
        <w:t xml:space="preserve"> de tipo </w:t>
      </w:r>
      <w:r>
        <w:rPr>
          <w:rFonts w:ascii="Consolas" w:cs="Consolas" w:eastAsia="Consolas" w:hAnsi="Consolas"/>
          <w:sz w:val="21"/>
          <w:szCs w:val="21"/>
        </w:rPr>
        <w:t xml:space="preserve">float32</w:t>
      </w:r>
      <w:r>
        <w:rPr>
          <w:rFonts w:ascii="Times New Roman" w:cs="Times New Roman" w:eastAsia="Times New Roman" w:hAnsi="Times New Roman"/>
        </w:rPr>
        <w:t xml:space="preserve"> y el de acciones es </w:t>
      </w:r>
      <w:r>
        <w:rPr>
          <w:rFonts w:ascii="Consolas" w:cs="Consolas" w:eastAsia="Consolas" w:hAnsi="Consolas"/>
          <w:sz w:val="21"/>
          <w:szCs w:val="21"/>
        </w:rPr>
        <w:t xml:space="preserve">Discrete(3)</w:t>
      </w:r>
      <w:r>
        <w:rPr>
          <w:rFonts w:ascii="Times New Roman" w:cs="Times New Roman" w:eastAsia="Times New Roman" w:hAnsi="Times New Roman"/>
        </w:rPr>
        <w:t xml:space="preserve">. El entorno pasa la verificación </w:t>
      </w:r>
      <w:r>
        <w:rPr>
          <w:rFonts w:ascii="Consolas" w:cs="Consolas" w:eastAsia="Consolas" w:hAnsi="Consolas"/>
          <w:sz w:val="21"/>
          <w:szCs w:val="21"/>
        </w:rPr>
        <w:t xml:space="preserve">check_env</w:t>
      </w:r>
      <w:r>
        <w:rPr>
          <w:rFonts w:ascii="Times New Roman" w:cs="Times New Roman" w:eastAsia="Times New Roman" w:hAnsi="Times New Roman"/>
        </w:rPr>
        <w:t xml:space="preserve"> de Gymnasium.</w:t>
      </w:r>
    </w:p>
    <w:p>
      <w:pPr>
        <w:pStyle w:val="Heading2"/>
        <w:keepNext/>
      </w:pPr>
      <w:r>
        <w:rPr>
          <w:rFonts w:ascii="Times New Roman" w:cs="Times New Roman" w:eastAsia="Times New Roman" w:hAnsi="Times New Roman"/>
        </w:rPr>
        <w:t xml:space="preserve">6.2. Qué hace el entorno en cada paso</w:t>
      </w:r>
    </w:p>
    <w:p>
      <w:pPr>
        <w:pStyle w:val="ListParagraph"/>
        <w:numPr>
          <w:ilvl w:val="0"/>
          <w:numId w:val="4"/>
        </w:numPr>
        <w:spacing w:after="80" w:line="290"/>
        <w:jc w:val="both"/>
      </w:pPr>
      <w:r>
        <w:rPr>
          <w:rFonts w:ascii="Times New Roman" w:cs="Times New Roman" w:eastAsia="Times New Roman" w:hAnsi="Times New Roman"/>
        </w:rPr>
        <w:t xml:space="preserve">Mantiene el efectivo, la cantidad de BTC y el valor del portafolio.</w:t>
      </w:r>
    </w:p>
    <w:p>
      <w:pPr>
        <w:pStyle w:val="ListParagraph"/>
        <w:numPr>
          <w:ilvl w:val="0"/>
          <w:numId w:val="4"/>
        </w:numPr>
        <w:spacing w:after="80" w:line="290"/>
        <w:jc w:val="both"/>
      </w:pPr>
      <w:r>
        <w:rPr>
          <w:rFonts w:ascii="Times New Roman" w:cs="Times New Roman" w:eastAsia="Times New Roman" w:hAnsi="Times New Roman"/>
        </w:rPr>
        <w:t xml:space="preserve">Aplica la acción: calcula cuánto comprar o vender para llegar a la exposición objetivo.</w:t>
      </w:r>
    </w:p>
    <w:p>
      <w:pPr>
        <w:pStyle w:val="ListParagraph"/>
        <w:numPr>
          <w:ilvl w:val="0"/>
          <w:numId w:val="4"/>
        </w:numPr>
        <w:spacing w:after="80" w:line="290"/>
        <w:jc w:val="both"/>
      </w:pPr>
      <w:r>
        <w:rPr>
          <w:rFonts w:ascii="Times New Roman" w:cs="Times New Roman" w:eastAsia="Times New Roman" w:hAnsi="Times New Roman"/>
        </w:rPr>
        <w:t xml:space="preserve">Cobra el costo de transacción sobre el monto operado.</w:t>
      </w:r>
    </w:p>
    <w:p>
      <w:pPr>
        <w:pStyle w:val="ListParagraph"/>
        <w:numPr>
          <w:ilvl w:val="0"/>
          <w:numId w:val="4"/>
        </w:numPr>
        <w:spacing w:after="80" w:line="290"/>
        <w:jc w:val="both"/>
      </w:pPr>
      <w:r>
        <w:rPr>
          <w:rFonts w:ascii="Times New Roman" w:cs="Times New Roman" w:eastAsia="Times New Roman" w:hAnsi="Times New Roman"/>
        </w:rPr>
        <w:t xml:space="preserve">Avanza al cierre de la hora siguiente y actualiza el valor de la posición con el nuevo precio.</w:t>
      </w:r>
    </w:p>
    <w:p>
      <w:pPr>
        <w:pStyle w:val="ListParagraph"/>
        <w:numPr>
          <w:ilvl w:val="0"/>
          <w:numId w:val="4"/>
        </w:numPr>
        <w:spacing w:after="80" w:line="290"/>
        <w:jc w:val="both"/>
      </w:pPr>
      <w:r>
        <w:rPr>
          <w:rFonts w:ascii="Times New Roman" w:cs="Times New Roman" w:eastAsia="Times New Roman" w:hAnsi="Times New Roman"/>
        </w:rPr>
        <w:t xml:space="preserve">Calcula la recompensa según la versión elegida (sección 7).</w:t>
      </w:r>
    </w:p>
    <w:p>
      <w:pPr>
        <w:pStyle w:val="ListParagraph"/>
        <w:numPr>
          <w:ilvl w:val="0"/>
          <w:numId w:val="4"/>
        </w:numPr>
        <w:spacing w:after="80" w:line="290"/>
        <w:jc w:val="both"/>
      </w:pPr>
      <w:r>
        <w:rPr>
          <w:rFonts w:ascii="Times New Roman" w:cs="Times New Roman" w:eastAsia="Times New Roman" w:hAnsi="Times New Roman"/>
        </w:rPr>
        <w:t xml:space="preserve">Entrega la nueva observación y registra capital, costos acumulados, cambios de exposición, rebalanceos, posición y fecha.</w:t>
      </w:r>
    </w:p>
    <w:p>
      <w:pPr>
        <w:spacing w:after="140" w:line="300"/>
        <w:jc w:val="both"/>
      </w:pPr>
      <w:r>
        <w:rPr>
          <w:rFonts w:ascii="Times New Roman" w:cs="Times New Roman" w:eastAsia="Times New Roman" w:hAnsi="Times New Roman"/>
        </w:rPr>
        <w:t xml:space="preserve">El rebalanceo es exacto. Sea V el valor antes de operar, A el valor que ya está en BTC, w</w:t>
      </w:r>
      <w:r>
        <w:rPr>
          <w:rFonts w:ascii="Times New Roman" w:cs="Times New Roman" w:eastAsia="Times New Roman" w:hAnsi="Times New Roman"/>
          <w:vertAlign w:val="superscript"/>
        </w:rPr>
        <w:t xml:space="preserve">*</w:t>
      </w:r>
      <w:r>
        <w:rPr>
          <w:rFonts w:ascii="Times New Roman" w:cs="Times New Roman" w:eastAsia="Times New Roman" w:hAnsi="Times New Roman"/>
        </w:rPr>
        <w:t xml:space="preserve"> la exposición objetivo y c = 0,001 el costo. El monto a comprar es N = (w</w:t>
      </w:r>
      <w:r>
        <w:rPr>
          <w:rFonts w:ascii="Times New Roman" w:cs="Times New Roman" w:eastAsia="Times New Roman" w:hAnsi="Times New Roman"/>
          <w:vertAlign w:val="superscript"/>
        </w:rPr>
        <w:t xml:space="preserve">*</w:t>
      </w:r>
      <w:r>
        <w:rPr>
          <w:rFonts w:ascii="Times New Roman" w:cs="Times New Roman" w:eastAsia="Times New Roman" w:hAnsi="Times New Roman"/>
        </w:rPr>
        <w:t xml:space="preserve">·V − A) / (1 + w</w:t>
      </w:r>
      <w:r>
        <w:rPr>
          <w:rFonts w:ascii="Times New Roman" w:cs="Times New Roman" w:eastAsia="Times New Roman" w:hAnsi="Times New Roman"/>
          <w:vertAlign w:val="superscript"/>
        </w:rPr>
        <w:t xml:space="preserve">*</w:t>
      </w:r>
      <w:r>
        <w:rPr>
          <w:rFonts w:ascii="Times New Roman" w:cs="Times New Roman" w:eastAsia="Times New Roman" w:hAnsi="Times New Roman"/>
        </w:rPr>
        <w:t xml:space="preserve">·c) y el monto a vender es N = (A − w</w:t>
      </w:r>
      <w:r>
        <w:rPr>
          <w:rFonts w:ascii="Times New Roman" w:cs="Times New Roman" w:eastAsia="Times New Roman" w:hAnsi="Times New Roman"/>
          <w:vertAlign w:val="superscript"/>
        </w:rPr>
        <w:t xml:space="preserve">*</w:t>
      </w:r>
      <w:r>
        <w:rPr>
          <w:rFonts w:ascii="Times New Roman" w:cs="Times New Roman" w:eastAsia="Times New Roman" w:hAnsi="Times New Roman"/>
        </w:rPr>
        <w:t xml:space="preserve">·V) / (1 − w</w:t>
      </w:r>
      <w:r>
        <w:rPr>
          <w:rFonts w:ascii="Times New Roman" w:cs="Times New Roman" w:eastAsia="Times New Roman" w:hAnsi="Times New Roman"/>
          <w:vertAlign w:val="superscript"/>
        </w:rPr>
        <w:t xml:space="preserve">*</w:t>
      </w:r>
      <w:r>
        <w:rPr>
          <w:rFonts w:ascii="Times New Roman" w:cs="Times New Roman" w:eastAsia="Times New Roman" w:hAnsi="Times New Roman"/>
        </w:rPr>
        <w:t xml:space="preserve">·c). Con esas fórmulas, después de pagar la comisión, la fracción en BTC queda exactamente en w</w:t>
      </w:r>
      <w:r>
        <w:rPr>
          <w:rFonts w:ascii="Times New Roman" w:cs="Times New Roman" w:eastAsia="Times New Roman" w:hAnsi="Times New Roman"/>
          <w:vertAlign w:val="superscript"/>
        </w:rPr>
        <w:t xml:space="preserve">*</w:t>
      </w:r>
      <w:r>
        <w:rPr>
          <w:rFonts w:ascii="Times New Roman" w:cs="Times New Roman" w:eastAsia="Times New Roman" w:hAnsi="Times New Roman"/>
        </w:rPr>
        <w:t xml:space="preserve">.</w:t>
      </w:r>
    </w:p>
    <w:p>
      <w:pPr>
        <w:pStyle w:val="Heading2"/>
        <w:keepNext/>
      </w:pPr>
      <w:r>
        <w:rPr>
          <w:rFonts w:ascii="Times New Roman" w:cs="Times New Roman" w:eastAsia="Times New Roman" w:hAnsi="Times New Roman"/>
        </w:rPr>
        <w:t xml:space="preserve">6.3. Costos de transacción</w:t>
      </w:r>
    </w:p>
    <w:p>
      <w:pPr>
        <w:spacing w:after="140" w:line="300"/>
        <w:jc w:val="both"/>
      </w:pPr>
      <w:r>
        <w:rPr>
          <w:rFonts w:ascii="Times New Roman" w:cs="Times New Roman" w:eastAsia="Times New Roman" w:hAnsi="Times New Roman"/>
        </w:rPr>
        <w:t xml:space="preserve">Se cobra 0,1 % (10 puntos básicos) sobre el monto comprado o vendido. Pasar de 0 % a 100 % cuesta cerca de 0,1 % del capital, quedarse en el mismo nivel no cuesta nada y mantener el 50 % genera pequeños ajustes cada hora, porque el precio mueve la proporción. El entorno separa los </w:t>
      </w:r>
      <w:r>
        <w:rPr>
          <w:rFonts w:ascii="Times New Roman" w:cs="Times New Roman" w:eastAsia="Times New Roman" w:hAnsi="Times New Roman"/>
          <w:b/>
          <w:bCs/>
        </w:rPr>
        <w:t xml:space="preserve">cambios de exposición</w:t>
      </w:r>
      <w:r>
        <w:rPr>
          <w:rFonts w:ascii="Times New Roman" w:cs="Times New Roman" w:eastAsia="Times New Roman" w:hAnsi="Times New Roman"/>
        </w:rPr>
        <w:t xml:space="preserve"> (el agente pide un nivel distinto) de los </w:t>
      </w:r>
      <w:r>
        <w:rPr>
          <w:rFonts w:ascii="Times New Roman" w:cs="Times New Roman" w:eastAsia="Times New Roman" w:hAnsi="Times New Roman"/>
          <w:b/>
          <w:bCs/>
        </w:rPr>
        <w:t xml:space="preserve">rebalanceos</w:t>
      </w:r>
      <w:r>
        <w:rPr>
          <w:rFonts w:ascii="Times New Roman" w:cs="Times New Roman" w:eastAsia="Times New Roman" w:hAnsi="Times New Roman"/>
        </w:rPr>
        <w:t xml:space="preserve"> (mismo nivel, solo corrige lo que movió el precio).</w:t>
      </w:r>
    </w:p>
    <w:p>
      <w:pPr>
        <w:pStyle w:val="Heading2"/>
        <w:keepNext/>
      </w:pPr>
      <w:r>
        <w:rPr>
          <w:rFonts w:ascii="Times New Roman" w:cs="Times New Roman" w:eastAsia="Times New Roman" w:hAnsi="Times New Roman"/>
        </w:rPr>
        <w:t xml:space="preserve">6.4. Momento de la decisión</w:t>
      </w:r>
    </w:p>
    <w:p>
      <w:pPr>
        <w:spacing w:after="140" w:line="300"/>
        <w:jc w:val="both"/>
      </w:pPr>
      <w:r>
        <w:rPr>
          <w:rFonts w:ascii="Times New Roman" w:cs="Times New Roman" w:eastAsia="Times New Roman" w:hAnsi="Times New Roman"/>
        </w:rPr>
        <w:t xml:space="preserve">La secuencia de cada paso es la siguiente:</w:t>
      </w:r>
    </w:p>
    <w:p>
      <w:pPr>
        <w:keepNext/>
        <w:shd w:fill="F2F2F2" w:color="auto" w:val="clear"/>
        <w:spacing w:after="0" w:before="80" w:line="240"/>
        <w:ind w:left="200"/>
      </w:pPr>
      <w:r>
        <w:rPr>
          <w:rFonts w:ascii="Consolas" w:cs="Consolas" w:eastAsia="Consolas" w:hAnsi="Consolas"/>
          <w:sz w:val="18"/>
          <w:szCs w:val="18"/>
        </w:rPr>
        <w:t xml:space="preserve">Hora t      cierra la vela de t</w:t>
      </w:r>
    </w:p>
    <w:p>
      <w:pPr>
        <w:keepNext/>
        <w:shd w:fill="F2F2F2" w:color="auto" w:val="clear"/>
        <w:spacing w:after="0" w:before="0" w:line="240"/>
        <w:ind w:left="200"/>
      </w:pPr>
      <w:r>
        <w:rPr>
          <w:rFonts w:ascii="Consolas" w:cs="Consolas" w:eastAsia="Consolas" w:hAnsi="Consolas"/>
          <w:sz w:val="18"/>
          <w:szCs w:val="18"/>
        </w:rPr>
        <w:t xml:space="preserve">            -&gt; se calculan los indicadores con precios hasta el cierre de t</w:t>
      </w:r>
    </w:p>
    <w:p>
      <w:pPr>
        <w:keepNext/>
        <w:shd w:fill="F2F2F2" w:color="auto" w:val="clear"/>
        <w:spacing w:after="0" w:before="0" w:line="240"/>
        <w:ind w:left="200"/>
      </w:pPr>
      <w:r>
        <w:rPr>
          <w:rFonts w:ascii="Consolas" w:cs="Consolas" w:eastAsia="Consolas" w:hAnsi="Consolas"/>
          <w:sz w:val="18"/>
          <w:szCs w:val="18"/>
        </w:rPr>
        <w:t xml:space="preserve">            -&gt; el agente elige la exposición w_t</w:t>
      </w:r>
    </w:p>
    <w:p>
      <w:pPr>
        <w:keepNext/>
        <w:shd w:fill="F2F2F2" w:color="auto" w:val="clear"/>
        <w:spacing w:after="0" w:before="0" w:line="240"/>
        <w:ind w:left="200"/>
      </w:pPr>
      <w:r>
        <w:rPr>
          <w:rFonts w:ascii="Consolas" w:cs="Consolas" w:eastAsia="Consolas" w:hAnsi="Consolas"/>
          <w:sz w:val="18"/>
          <w:szCs w:val="18"/>
        </w:rPr>
        <w:t xml:space="preserve">            -&gt; se opera al precio de cierre de t y se paga el costo</w:t>
      </w:r>
    </w:p>
    <w:p>
      <w:pPr>
        <w:keepNext/>
        <w:shd w:fill="F2F2F2" w:color="auto" w:val="clear"/>
        <w:spacing w:after="0" w:before="0" w:line="240"/>
        <w:ind w:left="200"/>
      </w:pPr>
      <w:r>
        <w:rPr>
          <w:rFonts w:ascii="Consolas" w:cs="Consolas" w:eastAsia="Consolas" w:hAnsi="Consolas"/>
          <w:sz w:val="18"/>
          <w:szCs w:val="18"/>
        </w:rPr>
        <w:t xml:space="preserve">Hora t+1    cierra la vela de t+1</w:t>
      </w:r>
    </w:p>
    <w:p>
      <w:pPr>
        <w:keepNext/>
        <w:shd w:fill="F2F2F2" w:color="auto" w:val="clear"/>
        <w:spacing w:after="0" w:before="0" w:line="240"/>
        <w:ind w:left="200"/>
      </w:pPr>
      <w:r>
        <w:rPr>
          <w:rFonts w:ascii="Consolas" w:cs="Consolas" w:eastAsia="Consolas" w:hAnsi="Consolas"/>
          <w:sz w:val="18"/>
          <w:szCs w:val="18"/>
        </w:rPr>
        <w:t xml:space="preserve">            -&gt; el valor V_t+1 se calcula con el cierre de t+1</w:t>
      </w:r>
    </w:p>
    <w:p>
      <w:pPr>
        <w:keepNext w:val="false"/>
        <w:shd w:fill="F2F2F2" w:color="auto" w:val="clear"/>
        <w:spacing w:after="0" w:before="0" w:line="240"/>
        <w:ind w:left="200"/>
      </w:pPr>
      <w:r>
        <w:rPr>
          <w:rFonts w:ascii="Consolas" w:cs="Consolas" w:eastAsia="Consolas" w:hAnsi="Consolas"/>
          <w:sz w:val="18"/>
          <w:szCs w:val="18"/>
        </w:rPr>
        <w:t xml:space="preserve">            -&gt; recompensa y nueva observación (indicadores hasta t+1)</w:t>
      </w:r>
    </w:p>
    <w:p>
      <w:pPr>
        <w:spacing w:after="120"/>
      </w:pPr>
    </w:p>
    <w:p>
      <w:pPr>
        <w:spacing w:after="140" w:line="300"/>
        <w:jc w:val="both"/>
      </w:pPr>
      <w:r>
        <w:rPr>
          <w:rFonts w:ascii="Times New Roman" w:cs="Times New Roman" w:eastAsia="Times New Roman" w:hAnsi="Times New Roman"/>
        </w:rPr>
        <w:t xml:space="preserve">El precio de </w:t>
      </w:r>
      <w:r>
        <w:rPr>
          <w:rFonts w:ascii="Times New Roman" w:cs="Times New Roman" w:eastAsia="Times New Roman" w:hAnsi="Times New Roman"/>
          <w:i/>
          <w:iCs/>
        </w:rPr>
        <w:t xml:space="preserve">t+1</w:t>
      </w:r>
      <w:r>
        <w:rPr>
          <w:rFonts w:ascii="Times New Roman" w:cs="Times New Roman" w:eastAsia="Times New Roman" w:hAnsi="Times New Roman"/>
        </w:rPr>
        <w:t xml:space="preserve"> solo se usa para medir el resultado de una decisión ya tomada. Se supone que la orden se ejecuta exactamente al precio de cierre, sin deslizamiento: es una simplificación y se discute como limitación.</w:t>
      </w:r>
    </w:p>
    <w:p>
      <w:pPr>
        <w:pStyle w:val="Heading2"/>
        <w:keepNext/>
      </w:pPr>
      <w:r>
        <w:rPr>
          <w:rFonts w:ascii="Times New Roman" w:cs="Times New Roman" w:eastAsia="Times New Roman" w:hAnsi="Times New Roman"/>
        </w:rPr>
        <w:t xml:space="preserve">6.5. Episodios</w:t>
      </w:r>
    </w:p>
    <w:p>
      <w:pPr>
        <w:spacing w:after="140" w:line="300"/>
        <w:jc w:val="both"/>
      </w:pPr>
      <w:r>
        <w:rPr>
          <w:rFonts w:ascii="Times New Roman" w:cs="Times New Roman" w:eastAsia="Times New Roman" w:hAnsi="Times New Roman"/>
        </w:rPr>
        <w:t xml:space="preserve">Un episodio recorre todo el periodo, hora por hora, siempre empezando en efectivo y desde la primera hora. En el periodo de ajuste son 18.610 decisiones. Termina al llegar a la última hora; no hay truncamiento. Todas las estrategias se evalúan igual: empiezan con 10.000 USD en efectivo y recorren el periodo completo.</w:t>
      </w:r>
    </w:p>
    <w:p>
      <w:pPr>
        <w:pStyle w:val="Heading2"/>
        <w:keepNext/>
      </w:pPr>
      <w:r>
        <w:rPr>
          <w:rFonts w:ascii="Times New Roman" w:cs="Times New Roman" w:eastAsia="Times New Roman" w:hAnsi="Times New Roman"/>
        </w:rPr>
        <w:t xml:space="preserve">6.6. Escalado del estado</w:t>
      </w:r>
    </w:p>
    <w:p>
      <w:pPr>
        <w:spacing w:after="140" w:line="300"/>
        <w:jc w:val="both"/>
      </w:pPr>
      <w:r>
        <w:rPr>
          <w:rFonts w:ascii="Times New Roman" w:cs="Times New Roman" w:eastAsia="Times New Roman" w:hAnsi="Times New Roman"/>
        </w:rPr>
        <w:t xml:space="preserve">Los indicadores varían entre 0,005 y 0,04 (desviación estándar), mientras que la posición vale 0, 0,5 o 1. El entorno permite restar a cada indicador su media y dividir por su desviación, calculadas </w:t>
      </w:r>
      <w:r>
        <w:rPr>
          <w:rFonts w:ascii="Times New Roman" w:cs="Times New Roman" w:eastAsia="Times New Roman" w:hAnsi="Times New Roman"/>
          <w:b/>
          <w:bCs/>
        </w:rPr>
        <w:t xml:space="preserve">solo con el periodo de ajuste</w:t>
      </w:r>
      <w:r>
        <w:rPr>
          <w:rFonts w:ascii="Times New Roman" w:cs="Times New Roman" w:eastAsia="Times New Roman" w:hAnsi="Times New Roman"/>
        </w:rPr>
        <w:t xml:space="preserve"> y guardadas junto al modelo (</w:t>
      </w:r>
      <w:r>
        <w:rPr>
          <w:rFonts w:ascii="Consolas" w:cs="Consolas" w:eastAsia="Consolas" w:hAnsi="Consolas"/>
          <w:sz w:val="21"/>
          <w:szCs w:val="21"/>
        </w:rPr>
        <w:t xml:space="preserve">escalado.json</w:t>
      </w:r>
      <w:r>
        <w:rPr>
          <w:rFonts w:ascii="Times New Roman" w:cs="Times New Roman" w:eastAsia="Times New Roman" w:hAnsi="Times New Roman"/>
        </w:rPr>
        <w:t xml:space="preserve">). La posición no se escala. El efecto de esta decisión se analiza en la sección 7.2.</w:t>
      </w:r>
    </w:p>
    <w:p>
      <w:pPr>
        <w:pStyle w:val="Heading2"/>
        <w:keepNext/>
      </w:pPr>
      <w:r>
        <w:rPr>
          <w:rFonts w:ascii="Times New Roman" w:cs="Times New Roman" w:eastAsia="Times New Roman" w:hAnsi="Times New Roman"/>
        </w:rPr>
        <w:t xml:space="preserve">6.7. Verificaciones</w:t>
      </w:r>
    </w:p>
    <w:p>
      <w:pPr>
        <w:pStyle w:val="ListParagraph"/>
        <w:numPr>
          <w:ilvl w:val="0"/>
          <w:numId w:val="4"/>
        </w:numPr>
        <w:spacing w:after="80" w:line="290"/>
        <w:jc w:val="both"/>
      </w:pPr>
      <w:r>
        <w:rPr>
          <w:rFonts w:ascii="Times New Roman" w:cs="Times New Roman" w:eastAsia="Times New Roman" w:hAnsi="Times New Roman"/>
          <w:b/>
          <w:bCs/>
        </w:rPr>
        <w:t xml:space="preserve">Gymnasium:</w:t>
      </w:r>
      <w:r>
        <w:rPr>
          <w:rFonts w:ascii="Times New Roman" w:cs="Times New Roman" w:eastAsia="Times New Roman" w:hAnsi="Times New Roman"/>
        </w:rPr>
        <w:t xml:space="preserve"> </w:t>
      </w:r>
      <w:r>
        <w:rPr>
          <w:rFonts w:ascii="Consolas" w:cs="Consolas" w:eastAsia="Consolas" w:hAnsi="Consolas"/>
          <w:sz w:val="21"/>
          <w:szCs w:val="21"/>
        </w:rPr>
        <w:t xml:space="preserve">check_env</w:t>
      </w:r>
      <w:r>
        <w:rPr>
          <w:rFonts w:ascii="Times New Roman" w:cs="Times New Roman" w:eastAsia="Times New Roman" w:hAnsi="Times New Roman"/>
        </w:rPr>
        <w:t xml:space="preserve"> sin errores; cada acción lleva la posición a 0 %, 50 % y 100 %.</w:t>
      </w:r>
    </w:p>
    <w:p>
      <w:pPr>
        <w:pStyle w:val="ListParagraph"/>
        <w:numPr>
          <w:ilvl w:val="0"/>
          <w:numId w:val="4"/>
        </w:numPr>
        <w:spacing w:after="80" w:line="290"/>
        <w:jc w:val="both"/>
      </w:pPr>
      <w:r>
        <w:rPr>
          <w:rFonts w:ascii="Times New Roman" w:cs="Times New Roman" w:eastAsia="Times New Roman" w:hAnsi="Times New Roman"/>
          <w:b/>
          <w:bCs/>
        </w:rPr>
        <w:t xml:space="preserve">Contabilidad:</w:t>
      </w:r>
      <w:r>
        <w:rPr>
          <w:rFonts w:ascii="Times New Roman" w:cs="Times New Roman" w:eastAsia="Times New Roman" w:hAnsi="Times New Roman"/>
        </w:rPr>
        <w:t xml:space="preserve"> en cada paso, capital = efectivo + BTC × precio; y la suma de las recompensas R1 de un episodio es igual a ln(capital final / capital inicial).</w:t>
      </w:r>
    </w:p>
    <w:p>
      <w:pPr>
        <w:pStyle w:val="ListParagraph"/>
        <w:numPr>
          <w:ilvl w:val="0"/>
          <w:numId w:val="4"/>
        </w:numPr>
        <w:spacing w:after="80" w:line="290"/>
        <w:jc w:val="both"/>
      </w:pPr>
      <w:r>
        <w:rPr>
          <w:rFonts w:ascii="Times New Roman" w:cs="Times New Roman" w:eastAsia="Times New Roman" w:hAnsi="Times New Roman"/>
          <w:b/>
          <w:bCs/>
        </w:rPr>
        <w:t xml:space="preserve">Consistencia con la primera versión:</w:t>
      </w:r>
      <w:r>
        <w:rPr>
          <w:rFonts w:ascii="Times New Roman" w:cs="Times New Roman" w:eastAsia="Times New Roman" w:hAnsi="Times New Roman"/>
        </w:rPr>
        <w:t xml:space="preserve"> comprar y mantener en la prueba da 10.585,83 USD (+5,86 %), igual que con la primera versión del entorno (10.585,82 USD; el centavo de diferencia viene de cómo se cobra la comisión de entrada).</w:t>
      </w:r>
    </w:p>
    <w:p>
      <w:pPr>
        <w:pStyle w:val="ListParagraph"/>
        <w:numPr>
          <w:ilvl w:val="0"/>
          <w:numId w:val="4"/>
        </w:numPr>
        <w:spacing w:after="80" w:line="290"/>
        <w:jc w:val="both"/>
      </w:pPr>
      <w:r>
        <w:rPr>
          <w:rFonts w:ascii="Times New Roman" w:cs="Times New Roman" w:eastAsia="Times New Roman" w:hAnsi="Times New Roman"/>
          <w:b/>
          <w:bCs/>
        </w:rPr>
        <w:t xml:space="preserve">Información futura:</w:t>
      </w:r>
      <w:r>
        <w:rPr>
          <w:rFonts w:ascii="Times New Roman" w:cs="Times New Roman" w:eastAsia="Times New Roman" w:hAnsi="Times New Roman"/>
        </w:rPr>
        <w:t xml:space="preserve"> 300 horas revisadas en los indicadores y 100 cortes en las decisiones del agente (sección 4.1). El comando </w:t>
      </w:r>
      <w:r>
        <w:rPr>
          <w:rFonts w:ascii="Consolas" w:cs="Consolas" w:eastAsia="Consolas" w:hAnsi="Consolas"/>
          <w:sz w:val="21"/>
          <w:szCs w:val="21"/>
        </w:rPr>
        <w:t xml:space="preserve">python -m src.auditoria</w:t>
      </w:r>
      <w:r>
        <w:rPr>
          <w:rFonts w:ascii="Times New Roman" w:cs="Times New Roman" w:eastAsia="Times New Roman" w:hAnsi="Times New Roman"/>
        </w:rPr>
        <w:t xml:space="preserve"> repite estas pruebas.</w:t>
      </w:r>
    </w:p>
    <w:p>
      <w:pPr>
        <w:pStyle w:val="Heading1"/>
        <w:keepNext/>
      </w:pPr>
      <w:r>
        <w:rPr>
          <w:rFonts w:ascii="Times New Roman" w:cs="Times New Roman" w:eastAsia="Times New Roman" w:hAnsi="Times New Roman"/>
        </w:rPr>
        <w:t xml:space="preserve">7. Diseño e iteración de la recompensa</w:t>
      </w:r>
    </w:p>
    <w:p>
      <w:pPr>
        <w:spacing w:after="140" w:line="300"/>
        <w:jc w:val="both"/>
      </w:pPr>
      <w:r>
        <w:rPr>
          <w:rFonts w:ascii="Times New Roman" w:cs="Times New Roman" w:eastAsia="Times New Roman" w:hAnsi="Times New Roman"/>
        </w:rPr>
        <w:t xml:space="preserve">La recompensa le dice al agente qué significa hacerlo bien. Se diseñó en tres iteraciones; cada una corrige el problema observado en la anterior. Para comparar recompensas distintas, el desempeño </w:t>
      </w:r>
      <w:r>
        <w:rPr>
          <w:rFonts w:ascii="Times New Roman" w:cs="Times New Roman" w:eastAsia="Times New Roman" w:hAnsi="Times New Roman"/>
          <w:b/>
          <w:bCs/>
        </w:rPr>
        <w:t xml:space="preserve">siempre se mide con el capital real del portafolio</w:t>
      </w:r>
      <w:r>
        <w:rPr>
          <w:rFonts w:ascii="Times New Roman" w:cs="Times New Roman" w:eastAsia="Times New Roman" w:hAnsi="Times New Roman"/>
        </w:rPr>
        <w:t xml:space="preserve"> (retorno acumulado, máximo drawdown y costos), nunca con la propia recompensa. Cada versión se entrenó con cinco semillas con la misma configuración del agente (sección 8) y se evaluó en el periodo de validación, sin aprendizaje ni exploración.</w:t>
      </w:r>
    </w:p>
    <w:p>
      <w:pPr>
        <w:pStyle w:val="Heading2"/>
        <w:keepNext/>
      </w:pPr>
      <w:r>
        <w:rPr>
          <w:rFonts w:ascii="Times New Roman" w:cs="Times New Roman" w:eastAsia="Times New Roman" w:hAnsi="Times New Roman"/>
        </w:rPr>
        <w:t xml:space="preserve">7.1. Iteración 1: R1, retorno logarítmico neto de costos</w:t>
      </w:r>
    </w:p>
    <w:p>
      <w:pPr>
        <w:spacing w:after="160" w:before="80"/>
        <w:jc w:val="center"/>
      </w:pPr>
      <w:r>
        <w:rPr>
          <w:rFonts w:ascii="Times New Roman" w:cs="Times New Roman" w:eastAsia="Times New Roman" w:hAnsi="Times New Roman"/>
          <w:sz w:val="24"/>
          <w:szCs w:val="24"/>
        </w:rPr>
        <w:t xml:space="preserve">r</w:t>
      </w:r>
      <w:r>
        <w:rPr>
          <w:rFonts w:ascii="Times New Roman" w:cs="Times New Roman" w:eastAsia="Times New Roman" w:hAnsi="Times New Roman"/>
          <w:sz w:val="24"/>
          <w:szCs w:val="24"/>
          <w:vertAlign w:val="subscript"/>
        </w:rPr>
        <w:t xml:space="preserve">t</w:t>
      </w:r>
      <w:r>
        <w:rPr>
          <w:rFonts w:ascii="Times New Roman" w:cs="Times New Roman" w:eastAsia="Times New Roman" w:hAnsi="Times New Roman"/>
          <w:sz w:val="24"/>
          <w:szCs w:val="24"/>
        </w:rPr>
        <w:t xml:space="preserve"> = ln( V</w:t>
      </w:r>
      <w:r>
        <w:rPr>
          <w:rFonts w:ascii="Times New Roman" w:cs="Times New Roman" w:eastAsia="Times New Roman" w:hAnsi="Times New Roman"/>
          <w:sz w:val="24"/>
          <w:szCs w:val="24"/>
          <w:vertAlign w:val="subscript"/>
        </w:rPr>
        <w:t xml:space="preserve">t+1</w:t>
      </w:r>
      <w:r>
        <w:rPr>
          <w:rFonts w:ascii="Times New Roman" w:cs="Times New Roman" w:eastAsia="Times New Roman" w:hAnsi="Times New Roman"/>
          <w:sz w:val="24"/>
          <w:szCs w:val="24"/>
        </w:rPr>
        <w:t xml:space="preserve"> / V</w:t>
      </w:r>
      <w:r>
        <w:rPr>
          <w:rFonts w:ascii="Times New Roman" w:cs="Times New Roman" w:eastAsia="Times New Roman" w:hAnsi="Times New Roman"/>
          <w:sz w:val="24"/>
          <w:szCs w:val="24"/>
          <w:vertAlign w:val="subscript"/>
        </w:rPr>
        <w:t xml:space="preserve">t</w:t>
      </w:r>
      <w:r>
        <w:rPr>
          <w:rFonts w:ascii="Times New Roman" w:cs="Times New Roman" w:eastAsia="Times New Roman" w:hAnsi="Times New Roman"/>
          <w:sz w:val="24"/>
          <w:szCs w:val="24"/>
        </w:rPr>
        <w:t xml:space="preserve"> )</w:t>
      </w:r>
    </w:p>
    <w:p>
      <w:pPr>
        <w:spacing w:after="140" w:line="300"/>
        <w:jc w:val="both"/>
      </w:pPr>
      <w:r>
        <w:rPr>
          <w:rFonts w:ascii="Times New Roman" w:cs="Times New Roman" w:eastAsia="Times New Roman" w:hAnsi="Times New Roman"/>
        </w:rPr>
        <w:t xml:space="preserve">V</w:t>
      </w:r>
      <w:r>
        <w:rPr>
          <w:rFonts w:ascii="Times New Roman" w:cs="Times New Roman" w:eastAsia="Times New Roman" w:hAnsi="Times New Roman"/>
          <w:vertAlign w:val="subscript"/>
        </w:rPr>
        <w:t xml:space="preserve">t</w:t>
      </w:r>
      <w:r>
        <w:rPr>
          <w:rFonts w:ascii="Times New Roman" w:cs="Times New Roman" w:eastAsia="Times New Roman" w:hAnsi="Times New Roman"/>
        </w:rPr>
        <w:t xml:space="preserve"> es el valor del portafolio antes de operar en la hora </w:t>
      </w:r>
      <w:r>
        <w:rPr>
          <w:rFonts w:ascii="Times New Roman" w:cs="Times New Roman" w:eastAsia="Times New Roman" w:hAnsi="Times New Roman"/>
          <w:i/>
          <w:iCs/>
        </w:rPr>
        <w:t xml:space="preserve">t</w:t>
      </w:r>
      <w:r>
        <w:rPr>
          <w:rFonts w:ascii="Times New Roman" w:cs="Times New Roman" w:eastAsia="Times New Roman" w:hAnsi="Times New Roman"/>
        </w:rPr>
        <w:t xml:space="preserve"> y V</w:t>
      </w:r>
      <w:r>
        <w:rPr>
          <w:rFonts w:ascii="Times New Roman" w:cs="Times New Roman" w:eastAsia="Times New Roman" w:hAnsi="Times New Roman"/>
          <w:vertAlign w:val="subscript"/>
        </w:rPr>
        <w:t xml:space="preserve">t+1</w:t>
      </w:r>
      <w:r>
        <w:rPr>
          <w:rFonts w:ascii="Times New Roman" w:cs="Times New Roman" w:eastAsia="Times New Roman" w:hAnsi="Times New Roman"/>
        </w:rPr>
        <w:t xml:space="preserve"> su valor al cierre de </w:t>
      </w:r>
      <w:r>
        <w:rPr>
          <w:rFonts w:ascii="Times New Roman" w:cs="Times New Roman" w:eastAsia="Times New Roman" w:hAnsi="Times New Roman"/>
          <w:i/>
          <w:iCs/>
        </w:rPr>
        <w:t xml:space="preserve">t+1</w:t>
      </w:r>
      <w:r>
        <w:rPr>
          <w:rFonts w:ascii="Times New Roman" w:cs="Times New Roman" w:eastAsia="Times New Roman" w:hAnsi="Times New Roman"/>
        </w:rPr>
        <w:t xml:space="preserve">, ya descontado el costo de la operación. Esta recompensa se eligió por tres razones: (1) incluye los costos sin términos extra, porque la comisión reduce V</w:t>
      </w:r>
      <w:r>
        <w:rPr>
          <w:rFonts w:ascii="Times New Roman" w:cs="Times New Roman" w:eastAsia="Times New Roman" w:hAnsi="Times New Roman"/>
          <w:vertAlign w:val="subscript"/>
        </w:rPr>
        <w:t xml:space="preserve">t+1</w:t>
      </w:r>
      <w:r>
        <w:rPr>
          <w:rFonts w:ascii="Times New Roman" w:cs="Times New Roman" w:eastAsia="Times New Roman" w:hAnsi="Times New Roman"/>
        </w:rPr>
        <w:t xml:space="preserve">; (2) la suma de las recompensas de un episodio es ln(V</w:t>
      </w:r>
      <w:r>
        <w:rPr>
          <w:rFonts w:ascii="Times New Roman" w:cs="Times New Roman" w:eastAsia="Times New Roman" w:hAnsi="Times New Roman"/>
          <w:vertAlign w:val="subscript"/>
        </w:rPr>
        <w:t xml:space="preserve">final</w:t>
      </w:r>
      <w:r>
        <w:rPr>
          <w:rFonts w:ascii="Times New Roman" w:cs="Times New Roman" w:eastAsia="Times New Roman" w:hAnsi="Times New Roman"/>
        </w:rPr>
        <w:t xml:space="preserve"> / V</w:t>
      </w:r>
      <w:r>
        <w:rPr>
          <w:rFonts w:ascii="Times New Roman" w:cs="Times New Roman" w:eastAsia="Times New Roman" w:hAnsi="Times New Roman"/>
          <w:vertAlign w:val="subscript"/>
        </w:rPr>
        <w:t xml:space="preserve">inicial</w:t>
      </w:r>
      <w:r>
        <w:rPr>
          <w:rFonts w:ascii="Times New Roman" w:cs="Times New Roman" w:eastAsia="Times New Roman" w:hAnsi="Times New Roman"/>
        </w:rPr>
        <w:t xml:space="preserve">), así que maximizar la recompensa acumulada equivale a maximizar el capital final; y (3) trata de forma simétrica las variaciones proporcionales. Es también la recompensa de la primera versión del entorno (Anexo A).</w:t>
      </w:r>
    </w:p>
    <w:p>
      <w:pPr>
        <w:spacing w:after="140" w:line="300"/>
        <w:jc w:val="both"/>
      </w:pPr>
      <w:r>
        <w:rPr>
          <w:rFonts w:ascii="Times New Roman" w:cs="Times New Roman" w:eastAsia="Times New Roman" w:hAnsi="Times New Roman"/>
          <w:b/>
          <w:bCs/>
        </w:rPr>
        <w:t xml:space="preserve">Entrenamiento y observación.</w:t>
      </w:r>
      <w:r>
        <w:rPr>
          <w:rFonts w:ascii="Times New Roman" w:cs="Times New Roman" w:eastAsia="Times New Roman" w:hAnsi="Times New Roman"/>
        </w:rPr>
        <w:t xml:space="preserve"> Con el estado sin escalar, como en la primera versión, los cinco agentes dieron resultados muy distintos en validación:</w:t>
      </w:r>
    </w:p>
    <w:p>
      <w:pPr>
        <w:keepNext/>
        <w:spacing w:after="40" w:before="160"/>
      </w:pPr>
      <w:r>
        <w:rPr>
          <w:rFonts w:ascii="Times New Roman" w:cs="Times New Roman" w:eastAsia="Times New Roman" w:hAnsi="Times New Roman"/>
          <w:b/>
          <w:bCs/>
        </w:rPr>
        <w:t xml:space="preserve">Tabla 7</w:t>
      </w:r>
    </w:p>
    <w:p>
      <w:pPr>
        <w:keepNext/>
        <w:spacing w:after="100"/>
      </w:pPr>
      <w:r>
        <w:rPr>
          <w:rFonts w:ascii="Times New Roman" w:cs="Times New Roman" w:eastAsia="Times New Roman" w:hAnsi="Times New Roman"/>
          <w:i/>
          <w:iCs/>
        </w:rPr>
        <w:t xml:space="preserve">R1 con estado sin escalar, por semilla (validación)</w:t>
      </w:r>
    </w:p>
    <w:tbl>
      <w:tblPr>
        <w:tblW w:type="dxa" w:w="8838"/>
        <w:tblBorders>
          <w:top w:val="single" w:color="auto" w:sz="4"/>
          <w:left w:val="single" w:color="auto" w:sz="4"/>
          <w:bottom w:val="single" w:color="auto" w:sz="4"/>
          <w:right w:val="single" w:color="auto" w:sz="4"/>
          <w:insideH w:val="single" w:color="auto" w:sz="4"/>
          <w:insideV w:val="single" w:color="auto" w:sz="4"/>
        </w:tblBorders>
      </w:tblPr>
      <w:tblGrid>
        <w:gridCol w:w="2038"/>
        <w:gridCol w:w="1400"/>
        <w:gridCol w:w="1400"/>
        <w:gridCol w:w="1400"/>
        <w:gridCol w:w="1100"/>
        <w:gridCol w:w="1500"/>
      </w:tblGrid>
      <w:tr>
        <w:trPr>
          <w:tblHeader/>
        </w:trPr>
        <w:tc>
          <w:tcPr>
            <w:tcW w:type="dxa" w:w="2038"/>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19"/>
                <w:szCs w:val="19"/>
              </w:rPr>
              <w:t xml:space="preserve">Semilla</w:t>
            </w:r>
          </w:p>
        </w:tc>
        <w:tc>
          <w:tcPr>
            <w:tcW w:type="dxa" w:w="1400"/>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19"/>
                <w:szCs w:val="19"/>
              </w:rPr>
              <w:t xml:space="preserve">Retorno</w:t>
            </w:r>
          </w:p>
        </w:tc>
        <w:tc>
          <w:tcPr>
            <w:tcW w:type="dxa" w:w="1400"/>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19"/>
                <w:szCs w:val="19"/>
              </w:rPr>
              <w:t xml:space="preserve">Máx. drawdown</w:t>
            </w:r>
          </w:p>
        </w:tc>
        <w:tc>
          <w:tcPr>
            <w:tcW w:type="dxa" w:w="1400"/>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19"/>
                <w:szCs w:val="19"/>
              </w:rPr>
              <w:t xml:space="preserve">Exposición media</w:t>
            </w:r>
          </w:p>
        </w:tc>
        <w:tc>
          <w:tcPr>
            <w:tcW w:type="dxa" w:w="1100"/>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19"/>
                <w:szCs w:val="19"/>
              </w:rPr>
              <w:t xml:space="preserve">Cambios</w:t>
            </w:r>
          </w:p>
        </w:tc>
        <w:tc>
          <w:tcPr>
            <w:tcW w:type="dxa" w:w="1500"/>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19"/>
                <w:szCs w:val="19"/>
              </w:rPr>
              <w:t xml:space="preserve">Costos (USD)</w:t>
            </w:r>
          </w:p>
        </w:tc>
      </w:tr>
      <w:tr>
        <w:trPr>
          <w:cantSplit/>
        </w:trPr>
        <w:tc>
          <w:tcPr>
            <w:tcW w:type="dxa" w:w="20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19"/>
                <w:szCs w:val="19"/>
              </w:rPr>
              <w:t xml:space="preserve">42</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right"/>
            </w:pPr>
            <w:r>
              <w:rPr>
                <w:rFonts w:ascii="Times New Roman" w:cs="Times New Roman" w:eastAsia="Times New Roman" w:hAnsi="Times New Roman"/>
                <w:b w:val="false"/>
                <w:bCs w:val="false"/>
                <w:sz w:val="19"/>
                <w:szCs w:val="19"/>
              </w:rPr>
              <w:t xml:space="preserve">+113,82 %</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right"/>
            </w:pPr>
            <w:r>
              <w:rPr>
                <w:rFonts w:ascii="Times New Roman" w:cs="Times New Roman" w:eastAsia="Times New Roman" w:hAnsi="Times New Roman"/>
                <w:b w:val="false"/>
                <w:bCs w:val="false"/>
                <w:sz w:val="19"/>
                <w:szCs w:val="19"/>
              </w:rPr>
              <w:t xml:space="preserve">−10,16 %</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right"/>
            </w:pPr>
            <w:r>
              <w:rPr>
                <w:rFonts w:ascii="Times New Roman" w:cs="Times New Roman" w:eastAsia="Times New Roman" w:hAnsi="Times New Roman"/>
                <w:b w:val="false"/>
                <w:bCs w:val="false"/>
                <w:sz w:val="19"/>
                <w:szCs w:val="19"/>
              </w:rPr>
              <w:t xml:space="preserve">50 %</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right"/>
            </w:pPr>
            <w:r>
              <w:rPr>
                <w:rFonts w:ascii="Times New Roman" w:cs="Times New Roman" w:eastAsia="Times New Roman" w:hAnsi="Times New Roman"/>
                <w:b w:val="false"/>
                <w:bCs w:val="false"/>
                <w:sz w:val="19"/>
                <w:szCs w:val="19"/>
              </w:rPr>
              <w:t xml:space="preserve">21</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right"/>
            </w:pPr>
            <w:r>
              <w:rPr>
                <w:rFonts w:ascii="Times New Roman" w:cs="Times New Roman" w:eastAsia="Times New Roman" w:hAnsi="Times New Roman"/>
                <w:b w:val="false"/>
                <w:bCs w:val="false"/>
                <w:sz w:val="19"/>
                <w:szCs w:val="19"/>
              </w:rPr>
              <w:t xml:space="preserve">207,98</w:t>
            </w:r>
          </w:p>
        </w:tc>
      </w:tr>
      <w:tr>
        <w:trPr>
          <w:cantSplit/>
        </w:trPr>
        <w:tc>
          <w:tcPr>
            <w:tcW w:type="dxa" w:w="20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19"/>
                <w:szCs w:val="19"/>
              </w:rPr>
              <w:t xml:space="preserve">123</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right"/>
            </w:pPr>
            <w:r>
              <w:rPr>
                <w:rFonts w:ascii="Times New Roman" w:cs="Times New Roman" w:eastAsia="Times New Roman" w:hAnsi="Times New Roman"/>
                <w:b w:val="false"/>
                <w:bCs w:val="false"/>
                <w:sz w:val="19"/>
                <w:szCs w:val="19"/>
              </w:rPr>
              <w:t xml:space="preserve">+189,17 %</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right"/>
            </w:pPr>
            <w:r>
              <w:rPr>
                <w:rFonts w:ascii="Times New Roman" w:cs="Times New Roman" w:eastAsia="Times New Roman" w:hAnsi="Times New Roman"/>
                <w:b w:val="false"/>
                <w:bCs w:val="false"/>
                <w:sz w:val="19"/>
                <w:szCs w:val="19"/>
              </w:rPr>
              <w:t xml:space="preserve">−12,22 %</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right"/>
            </w:pPr>
            <w:r>
              <w:rPr>
                <w:rFonts w:ascii="Times New Roman" w:cs="Times New Roman" w:eastAsia="Times New Roman" w:hAnsi="Times New Roman"/>
                <w:b w:val="false"/>
                <w:bCs w:val="false"/>
                <w:sz w:val="19"/>
                <w:szCs w:val="19"/>
              </w:rPr>
              <w:t xml:space="preserve">58 %</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right"/>
            </w:pPr>
            <w:r>
              <w:rPr>
                <w:rFonts w:ascii="Times New Roman" w:cs="Times New Roman" w:eastAsia="Times New Roman" w:hAnsi="Times New Roman"/>
                <w:b w:val="false"/>
                <w:bCs w:val="false"/>
                <w:sz w:val="19"/>
                <w:szCs w:val="19"/>
              </w:rPr>
              <w:t xml:space="preserve">4</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right"/>
            </w:pPr>
            <w:r>
              <w:rPr>
                <w:rFonts w:ascii="Times New Roman" w:cs="Times New Roman" w:eastAsia="Times New Roman" w:hAnsi="Times New Roman"/>
                <w:b w:val="false"/>
                <w:bCs w:val="false"/>
                <w:sz w:val="19"/>
                <w:szCs w:val="19"/>
              </w:rPr>
              <w:t xml:space="preserve">80,92</w:t>
            </w:r>
          </w:p>
        </w:tc>
      </w:tr>
      <w:tr>
        <w:trPr>
          <w:cantSplit/>
        </w:trPr>
        <w:tc>
          <w:tcPr>
            <w:tcW w:type="dxa" w:w="20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19"/>
                <w:szCs w:val="19"/>
              </w:rPr>
              <w:t xml:space="preserve">456</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right"/>
            </w:pPr>
            <w:r>
              <w:rPr>
                <w:rFonts w:ascii="Times New Roman" w:cs="Times New Roman" w:eastAsia="Times New Roman" w:hAnsi="Times New Roman"/>
                <w:b w:val="false"/>
                <w:bCs w:val="false"/>
                <w:sz w:val="19"/>
                <w:szCs w:val="19"/>
              </w:rPr>
              <w:t xml:space="preserve">+4,03 %</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right"/>
            </w:pPr>
            <w:r>
              <w:rPr>
                <w:rFonts w:ascii="Times New Roman" w:cs="Times New Roman" w:eastAsia="Times New Roman" w:hAnsi="Times New Roman"/>
                <w:b w:val="false"/>
                <w:bCs w:val="false"/>
                <w:sz w:val="19"/>
                <w:szCs w:val="19"/>
              </w:rPr>
              <w:t xml:space="preserve">−0,10 %</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right"/>
            </w:pPr>
            <w:r>
              <w:rPr>
                <w:rFonts w:ascii="Times New Roman" w:cs="Times New Roman" w:eastAsia="Times New Roman" w:hAnsi="Times New Roman"/>
                <w:b w:val="false"/>
                <w:bCs w:val="false"/>
                <w:sz w:val="19"/>
                <w:szCs w:val="19"/>
              </w:rPr>
              <w:t xml:space="preserve">0 %</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right"/>
            </w:pPr>
            <w:r>
              <w:rPr>
                <w:rFonts w:ascii="Times New Roman" w:cs="Times New Roman" w:eastAsia="Times New Roman" w:hAnsi="Times New Roman"/>
                <w:b w:val="false"/>
                <w:bCs w:val="false"/>
                <w:sz w:val="19"/>
                <w:szCs w:val="19"/>
              </w:rPr>
              <w:t xml:space="preserve">4</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right"/>
            </w:pPr>
            <w:r>
              <w:rPr>
                <w:rFonts w:ascii="Times New Roman" w:cs="Times New Roman" w:eastAsia="Times New Roman" w:hAnsi="Times New Roman"/>
                <w:b w:val="false"/>
                <w:bCs w:val="false"/>
                <w:sz w:val="19"/>
                <w:szCs w:val="19"/>
              </w:rPr>
              <w:t xml:space="preserve">40,89</w:t>
            </w:r>
          </w:p>
        </w:tc>
      </w:tr>
      <w:tr>
        <w:trPr>
          <w:cantSplit/>
        </w:trPr>
        <w:tc>
          <w:tcPr>
            <w:tcW w:type="dxa" w:w="20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19"/>
                <w:szCs w:val="19"/>
              </w:rPr>
              <w:t xml:space="preserve">789</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right"/>
            </w:pPr>
            <w:r>
              <w:rPr>
                <w:rFonts w:ascii="Times New Roman" w:cs="Times New Roman" w:eastAsia="Times New Roman" w:hAnsi="Times New Roman"/>
                <w:b w:val="false"/>
                <w:bCs w:val="false"/>
                <w:sz w:val="19"/>
                <w:szCs w:val="19"/>
              </w:rPr>
              <w:t xml:space="preserve">+347,98 %</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right"/>
            </w:pPr>
            <w:r>
              <w:rPr>
                <w:rFonts w:ascii="Times New Roman" w:cs="Times New Roman" w:eastAsia="Times New Roman" w:hAnsi="Times New Roman"/>
                <w:b w:val="false"/>
                <w:bCs w:val="false"/>
                <w:sz w:val="19"/>
                <w:szCs w:val="19"/>
              </w:rPr>
              <w:t xml:space="preserve">−19,90 %</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right"/>
            </w:pPr>
            <w:r>
              <w:rPr>
                <w:rFonts w:ascii="Times New Roman" w:cs="Times New Roman" w:eastAsia="Times New Roman" w:hAnsi="Times New Roman"/>
                <w:b w:val="false"/>
                <w:bCs w:val="false"/>
                <w:sz w:val="19"/>
                <w:szCs w:val="19"/>
              </w:rPr>
              <w:t xml:space="preserve">99 %</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right"/>
            </w:pPr>
            <w:r>
              <w:rPr>
                <w:rFonts w:ascii="Times New Roman" w:cs="Times New Roman" w:eastAsia="Times New Roman" w:hAnsi="Times New Roman"/>
                <w:b w:val="false"/>
                <w:bCs w:val="false"/>
                <w:sz w:val="19"/>
                <w:szCs w:val="19"/>
              </w:rPr>
              <w:t xml:space="preserve">11</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right"/>
            </w:pPr>
            <w:r>
              <w:rPr>
                <w:rFonts w:ascii="Times New Roman" w:cs="Times New Roman" w:eastAsia="Times New Roman" w:hAnsi="Times New Roman"/>
                <w:b w:val="false"/>
                <w:bCs w:val="false"/>
                <w:sz w:val="19"/>
                <w:szCs w:val="19"/>
              </w:rPr>
              <w:t xml:space="preserve">216,68</w:t>
            </w:r>
          </w:p>
        </w:tc>
      </w:tr>
      <w:tr>
        <w:trPr>
          <w:cantSplit/>
        </w:trPr>
        <w:tc>
          <w:tcPr>
            <w:tcW w:type="dxa" w:w="20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19"/>
                <w:szCs w:val="19"/>
              </w:rPr>
              <w:t xml:space="preserve">2026</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right"/>
            </w:pPr>
            <w:r>
              <w:rPr>
                <w:rFonts w:ascii="Times New Roman" w:cs="Times New Roman" w:eastAsia="Times New Roman" w:hAnsi="Times New Roman"/>
                <w:b w:val="false"/>
                <w:bCs w:val="false"/>
                <w:sz w:val="19"/>
                <w:szCs w:val="19"/>
              </w:rPr>
              <w:t xml:space="preserve">+310,41 %</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right"/>
            </w:pPr>
            <w:r>
              <w:rPr>
                <w:rFonts w:ascii="Times New Roman" w:cs="Times New Roman" w:eastAsia="Times New Roman" w:hAnsi="Times New Roman"/>
                <w:b w:val="false"/>
                <w:bCs w:val="false"/>
                <w:sz w:val="19"/>
                <w:szCs w:val="19"/>
              </w:rPr>
              <w:t xml:space="preserve">−19,90 %</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right"/>
            </w:pPr>
            <w:r>
              <w:rPr>
                <w:rFonts w:ascii="Times New Roman" w:cs="Times New Roman" w:eastAsia="Times New Roman" w:hAnsi="Times New Roman"/>
                <w:b w:val="false"/>
                <w:bCs w:val="false"/>
                <w:sz w:val="19"/>
                <w:szCs w:val="19"/>
              </w:rPr>
              <w:t xml:space="preserve">98 %</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right"/>
            </w:pPr>
            <w:r>
              <w:rPr>
                <w:rFonts w:ascii="Times New Roman" w:cs="Times New Roman" w:eastAsia="Times New Roman" w:hAnsi="Times New Roman"/>
                <w:b w:val="false"/>
                <w:bCs w:val="false"/>
                <w:sz w:val="19"/>
                <w:szCs w:val="19"/>
              </w:rPr>
              <w:t xml:space="preserve">28</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right"/>
            </w:pPr>
            <w:r>
              <w:rPr>
                <w:rFonts w:ascii="Times New Roman" w:cs="Times New Roman" w:eastAsia="Times New Roman" w:hAnsi="Times New Roman"/>
                <w:b w:val="false"/>
                <w:bCs w:val="false"/>
                <w:sz w:val="19"/>
                <w:szCs w:val="19"/>
              </w:rPr>
              <w:t xml:space="preserve">592,26</w:t>
            </w:r>
          </w:p>
        </w:tc>
      </w:tr>
      <w:tr>
        <w:trPr>
          <w:cantSplit/>
        </w:trPr>
        <w:tc>
          <w:tcPr>
            <w:tcW w:type="dxa" w:w="20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i/>
                <w:iCs/>
                <w:sz w:val="19"/>
                <w:szCs w:val="19"/>
              </w:rPr>
              <w:t xml:space="preserve">Comprar y mantener</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right"/>
            </w:pPr>
            <w:r>
              <w:rPr>
                <w:rFonts w:ascii="Times New Roman" w:cs="Times New Roman" w:eastAsia="Times New Roman" w:hAnsi="Times New Roman"/>
                <w:b w:val="false"/>
                <w:bCs w:val="false"/>
                <w:sz w:val="19"/>
                <w:szCs w:val="19"/>
              </w:rPr>
              <w:t xml:space="preserve">+348,90 %</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right"/>
            </w:pPr>
            <w:r>
              <w:rPr>
                <w:rFonts w:ascii="Times New Roman" w:cs="Times New Roman" w:eastAsia="Times New Roman" w:hAnsi="Times New Roman"/>
                <w:b w:val="false"/>
                <w:bCs w:val="false"/>
                <w:sz w:val="19"/>
                <w:szCs w:val="19"/>
              </w:rPr>
              <w:t xml:space="preserve">−19,90 %</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right"/>
            </w:pPr>
            <w:r>
              <w:rPr>
                <w:rFonts w:ascii="Times New Roman" w:cs="Times New Roman" w:eastAsia="Times New Roman" w:hAnsi="Times New Roman"/>
                <w:b w:val="false"/>
                <w:bCs w:val="false"/>
                <w:sz w:val="19"/>
                <w:szCs w:val="19"/>
              </w:rPr>
              <w:t xml:space="preserve">100 %</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right"/>
            </w:pPr>
            <w:r>
              <w:rPr>
                <w:rFonts w:ascii="Times New Roman" w:cs="Times New Roman" w:eastAsia="Times New Roman" w:hAnsi="Times New Roman"/>
                <w:b w:val="false"/>
                <w:bCs w:val="false"/>
                <w:sz w:val="19"/>
                <w:szCs w:val="19"/>
              </w:rPr>
              <w:t xml:space="preserve">1</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right"/>
            </w:pPr>
            <w:r>
              <w:rPr>
                <w:rFonts w:ascii="Times New Roman" w:cs="Times New Roman" w:eastAsia="Times New Roman" w:hAnsi="Times New Roman"/>
                <w:b w:val="false"/>
                <w:bCs w:val="false"/>
                <w:sz w:val="19"/>
                <w:szCs w:val="19"/>
              </w:rPr>
              <w:t xml:space="preserve">9,99</w:t>
            </w:r>
          </w:p>
        </w:tc>
      </w:tr>
      <w:tr>
        <w:trPr>
          <w:cantSplit/>
        </w:trPr>
        <w:tc>
          <w:tcPr>
            <w:tcW w:type="dxa" w:w="20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i/>
                <w:iCs/>
                <w:sz w:val="19"/>
                <w:szCs w:val="19"/>
              </w:rPr>
              <w:t xml:space="preserve">Constante 50 %</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right"/>
            </w:pPr>
            <w:r>
              <w:rPr>
                <w:rFonts w:ascii="Times New Roman" w:cs="Times New Roman" w:eastAsia="Times New Roman" w:hAnsi="Times New Roman"/>
                <w:b w:val="false"/>
                <w:bCs w:val="false"/>
                <w:sz w:val="19"/>
                <w:szCs w:val="19"/>
              </w:rPr>
              <w:t xml:space="preserve">+116,05 %</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right"/>
            </w:pPr>
            <w:r>
              <w:rPr>
                <w:rFonts w:ascii="Times New Roman" w:cs="Times New Roman" w:eastAsia="Times New Roman" w:hAnsi="Times New Roman"/>
                <w:b w:val="false"/>
                <w:bCs w:val="false"/>
                <w:sz w:val="19"/>
                <w:szCs w:val="19"/>
              </w:rPr>
              <w:t xml:space="preserve">−10,38 %</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right"/>
            </w:pPr>
            <w:r>
              <w:rPr>
                <w:rFonts w:ascii="Times New Roman" w:cs="Times New Roman" w:eastAsia="Times New Roman" w:hAnsi="Times New Roman"/>
                <w:b w:val="false"/>
                <w:bCs w:val="false"/>
                <w:sz w:val="19"/>
                <w:szCs w:val="19"/>
              </w:rPr>
              <w:t xml:space="preserve">50 %</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right"/>
            </w:pPr>
            <w:r>
              <w:rPr>
                <w:rFonts w:ascii="Times New Roman" w:cs="Times New Roman" w:eastAsia="Times New Roman" w:hAnsi="Times New Roman"/>
                <w:b w:val="false"/>
                <w:bCs w:val="false"/>
                <w:sz w:val="19"/>
                <w:szCs w:val="19"/>
              </w:rPr>
              <w:t xml:space="preserve">1</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right"/>
            </w:pPr>
            <w:r>
              <w:rPr>
                <w:rFonts w:ascii="Times New Roman" w:cs="Times New Roman" w:eastAsia="Times New Roman" w:hAnsi="Times New Roman"/>
                <w:b w:val="false"/>
                <w:bCs w:val="false"/>
                <w:sz w:val="19"/>
                <w:szCs w:val="19"/>
              </w:rPr>
              <w:t xml:space="preserve">68,92</w:t>
            </w:r>
          </w:p>
        </w:tc>
      </w:tr>
    </w:tbl>
    <w:p>
      <w:pPr>
        <w:spacing w:after="120"/>
      </w:pPr>
    </w:p>
    <w:p>
      <w:pPr>
        <w:spacing w:after="140" w:line="300"/>
        <w:jc w:val="both"/>
      </w:pPr>
      <w:r>
        <w:rPr>
          <w:rFonts w:ascii="Times New Roman" w:cs="Times New Roman" w:eastAsia="Times New Roman" w:hAnsi="Times New Roman"/>
          <w:b/>
          <w:bCs/>
        </w:rPr>
        <w:t xml:space="preserve">Problema identificado.</w:t>
      </w:r>
      <w:r>
        <w:rPr>
          <w:rFonts w:ascii="Times New Roman" w:cs="Times New Roman" w:eastAsia="Times New Roman" w:hAnsi="Times New Roman"/>
        </w:rPr>
        <w:t xml:space="preserve"> El agente no decide cuándo invertir: elige una exposición casi fija y cuál elige depende de la semilla. El retorno de validación se explica casi solo por ese nivel. Cerca de 0 % da casi 0, cerca de 50 % da lo mismo que mantener siempre el 50 %, y cerca de 100 % da lo mismo que comprar y mantener. Además, el nivel cambia durante el entrenamiento: la semilla 2026 pasó por 52 %, 12 %, 96 %, 0 %, 0 % y 98 % de exposición en los puntos de control de 20.000 en 20.000 pasos (Figura 2).</w:t>
      </w:r>
    </w:p>
    <w:p>
      <w:pPr>
        <w:keepNext/>
        <w:spacing w:after="40" w:before="160"/>
      </w:pPr>
      <w:r>
        <w:rPr>
          <w:rFonts w:ascii="Times New Roman" w:cs="Times New Roman" w:eastAsia="Times New Roman" w:hAnsi="Times New Roman"/>
          <w:b/>
          <w:bCs/>
        </w:rPr>
        <w:t xml:space="preserve">Figura 2</w:t>
      </w:r>
    </w:p>
    <w:p>
      <w:pPr>
        <w:keepNext/>
        <w:spacing w:after="100"/>
      </w:pPr>
      <w:r>
        <w:rPr>
          <w:rFonts w:ascii="Times New Roman" w:cs="Times New Roman" w:eastAsia="Times New Roman" w:hAnsi="Times New Roman"/>
          <w:i/>
          <w:iCs/>
        </w:rPr>
        <w:t xml:space="preserve">Exposición media en validación a lo largo del entrenamiento (R1 sin escalar)</w:t>
      </w:r>
    </w:p>
    <w:p>
      <w:pPr>
        <w:keepNext/>
        <w:spacing w:after="60"/>
        <w:jc w:val="center"/>
      </w:pPr>
      <w:r>
        <w:drawing>
          <wp:inline distT="0" distB="0" distL="0" distR="0">
            <wp:extent cx="4762500" cy="2609850"/>
            <wp:effectExtent t="0" r="0" b="0" l="0"/>
            <wp:docPr id="2" name="figura2" descr="Exposición media en validación a lo largo del entrenamiento (R1 sin escalar)" title="Exposición media en validación a lo largo del entrenamiento (R1 sin escal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609850"/>
                    </a:xfrm>
                    <a:prstGeom prst="rect">
                      <a:avLst/>
                    </a:prstGeom>
                  </pic:spPr>
                </pic:pic>
              </a:graphicData>
            </a:graphic>
          </wp:inline>
        </w:drawing>
      </w:r>
    </w:p>
    <w:p>
      <w:pPr>
        <w:spacing w:after="180"/>
        <w:jc w:val="both"/>
      </w:pPr>
      <w:r>
        <w:rPr>
          <w:rFonts w:ascii="Times New Roman" w:cs="Times New Roman" w:eastAsia="Times New Roman" w:hAnsi="Times New Roman"/>
          <w:i/>
          <w:iCs/>
          <w:sz w:val="19"/>
          <w:szCs w:val="19"/>
        </w:rPr>
        <w:t xml:space="preserve">Nota.</w:t>
      </w:r>
      <w:r>
        <w:rPr>
          <w:rFonts w:ascii="Times New Roman" w:cs="Times New Roman" w:eastAsia="Times New Roman" w:hAnsi="Times New Roman"/>
          <w:sz w:val="19"/>
          <w:szCs w:val="19"/>
        </w:rPr>
        <w:t xml:space="preserve"> Cada punto es el mismo agente evaluado en validación tras 20.000, 40.000, … pasos. La política salta entre niveles en lugar de converger.</w:t>
      </w:r>
    </w:p>
    <w:p>
      <w:pPr>
        <w:spacing w:after="140" w:line="300"/>
        <w:jc w:val="both"/>
      </w:pPr>
      <w:r>
        <w:rPr>
          <w:rFonts w:ascii="Times New Roman" w:cs="Times New Roman" w:eastAsia="Times New Roman" w:hAnsi="Times New Roman"/>
          <w:b/>
          <w:bCs/>
        </w:rPr>
        <w:t xml:space="preserve">Diagnóstico.</w:t>
      </w:r>
      <w:r>
        <w:rPr>
          <w:rFonts w:ascii="Times New Roman" w:cs="Times New Roman" w:eastAsia="Times New Roman" w:hAnsi="Times New Roman"/>
        </w:rPr>
        <w:t xml:space="preserve"> Hay tres causas que se refuerzan:</w:t>
      </w:r>
    </w:p>
    <w:p>
      <w:pPr>
        <w:pStyle w:val="ListParagraph"/>
        <w:numPr>
          <w:ilvl w:val="0"/>
          <w:numId w:val="4"/>
        </w:numPr>
        <w:spacing w:after="80" w:line="290"/>
        <w:jc w:val="both"/>
      </w:pPr>
      <w:r>
        <w:rPr>
          <w:rFonts w:ascii="Times New Roman" w:cs="Times New Roman" w:eastAsia="Times New Roman" w:hAnsi="Times New Roman"/>
        </w:rPr>
        <w:t xml:space="preserve">En el periodo de ajuste la tendencia fue casi nula (relación media/desviación de 0,0007). Con R1, estar en 0 %, 50 % o 100 % da en promedio casi la misma recompensa: el agente es casi indiferente y queda en cualquier nivel.</w:t>
      </w:r>
    </w:p>
    <w:p>
      <w:pPr>
        <w:pStyle w:val="ListParagraph"/>
        <w:numPr>
          <w:ilvl w:val="0"/>
          <w:numId w:val="4"/>
        </w:numPr>
        <w:spacing w:after="80" w:line="290"/>
        <w:jc w:val="both"/>
      </w:pPr>
      <w:r>
        <w:rPr>
          <w:rFonts w:ascii="Times New Roman" w:cs="Times New Roman" w:eastAsia="Times New Roman" w:hAnsi="Times New Roman"/>
        </w:rPr>
        <w:t xml:space="preserve">Cuando el agente está en 0 % o en 50 %, la diferencia entre el mejor y el segundo mejor valor Q es de unas 0,0003 (mediana, semilla 123), menor que el costo de cambiar 50 puntos de exposición (0,0005 en escala logarítmica). Cambiar casi nunca vale la pena y el agente se queda donde está.</w:t>
      </w:r>
    </w:p>
    <w:p>
      <w:pPr>
        <w:pStyle w:val="ListParagraph"/>
        <w:numPr>
          <w:ilvl w:val="0"/>
          <w:numId w:val="4"/>
        </w:numPr>
        <w:spacing w:after="80" w:line="290"/>
        <w:jc w:val="both"/>
      </w:pPr>
      <w:r>
        <w:rPr>
          <w:rFonts w:ascii="Times New Roman" w:cs="Times New Roman" w:eastAsia="Times New Roman" w:hAnsi="Times New Roman"/>
        </w:rPr>
        <w:t xml:space="preserve">Los indicadores sin escalar son números muy pequeños frente a la posición, así que la red reacciona casi solo a la posición. Con la semilla 123, si está en 0 % elige 0 % en el 85,4 % de las horas; si está en 50 % elige 50 % en el 99,8 %; y si está en 100 % elige 100 % en el 99,96 %.</w:t>
      </w:r>
    </w:p>
    <w:p>
      <w:pPr>
        <w:spacing w:after="140" w:line="300"/>
        <w:jc w:val="both"/>
      </w:pPr>
      <w:r>
        <w:rPr>
          <w:rFonts w:ascii="Times New Roman" w:cs="Times New Roman" w:eastAsia="Times New Roman" w:hAnsi="Times New Roman"/>
          <w:b/>
          <w:bCs/>
        </w:rPr>
        <w:t xml:space="preserve">Sensibilidad a la plataforma.</w:t>
      </w:r>
      <w:r>
        <w:rPr>
          <w:rFonts w:ascii="Times New Roman" w:cs="Times New Roman" w:eastAsia="Times New Roman" w:hAnsi="Times New Roman"/>
        </w:rPr>
        <w:t xml:space="preserve"> La primera corrida de esta configuración se hizo en Google Colab: con la semilla 42, la validación dio +325,33 %, con la política casi siempre en 100 %. La misma configuración y la misma semilla en el computador local dieron +113,82 %, con la política casi siempre en 50 %. Una pequeña diferencia numérica entre plataformas basta para cambiar el nivel en que cae la política, otra muestra de lo poco estable que es esta solución. En un mismo computador, en cambio, reentrenar da exactamente los mismos pesos.</w:t>
      </w:r>
    </w:p>
    <w:p>
      <w:pPr>
        <w:pStyle w:val="Heading2"/>
        <w:keepNext/>
      </w:pPr>
      <w:r>
        <w:rPr>
          <w:rFonts w:ascii="Times New Roman" w:cs="Times New Roman" w:eastAsia="Times New Roman" w:hAnsi="Times New Roman"/>
        </w:rPr>
        <w:t xml:space="preserve">7.2. Ajuste intermedio: escalar el estado</w:t>
      </w:r>
    </w:p>
    <w:p>
      <w:pPr>
        <w:spacing w:after="140" w:line="300"/>
        <w:jc w:val="both"/>
      </w:pPr>
      <w:r>
        <w:rPr>
          <w:rFonts w:ascii="Times New Roman" w:cs="Times New Roman" w:eastAsia="Times New Roman" w:hAnsi="Times New Roman"/>
        </w:rPr>
        <w:t xml:space="preserve">Antes de cambiar la recompensa se probó la tercera causa: se escaló el estado con la media y la desviación del periodo de ajuste (sección 6.6), manteniendo R1. Con esto el agente sí usó los indicadores (exposición media entre 30 % y 88 % según la semilla), pero apareció un problema nuevo: </w:t>
      </w:r>
      <w:r>
        <w:rPr>
          <w:rFonts w:ascii="Times New Roman" w:cs="Times New Roman" w:eastAsia="Times New Roman" w:hAnsi="Times New Roman"/>
          <w:b/>
          <w:bCs/>
        </w:rPr>
        <w:t xml:space="preserve">opera de forma excesiva</w:t>
      </w:r>
      <w:r>
        <w:rPr>
          <w:rFonts w:ascii="Times New Roman" w:cs="Times New Roman" w:eastAsia="Times New Roman" w:hAnsi="Times New Roman"/>
        </w:rPr>
        <w:t xml:space="preserve">. La mediana fue de 808 cambios de exposición en 4.653 horas de validación y 4.501 USD en costos, el 45 % del capital inicial. El retorno de validación cayó a +100,4 % y el drawdown empeoró a −20,9 %. Dentro de muestra, en el propio periodo de ajuste, el resultado fue −59,8 %: no es sobreajuste, el agente aprendió ruido.</w:t>
      </w:r>
    </w:p>
    <w:p>
      <w:pPr>
        <w:keepNext/>
        <w:spacing w:after="40" w:before="160"/>
      </w:pPr>
      <w:r>
        <w:rPr>
          <w:rFonts w:ascii="Times New Roman" w:cs="Times New Roman" w:eastAsia="Times New Roman" w:hAnsi="Times New Roman"/>
          <w:b/>
          <w:bCs/>
        </w:rPr>
        <w:t xml:space="preserve">Figura 3</w:t>
      </w:r>
    </w:p>
    <w:p>
      <w:pPr>
        <w:keepNext/>
        <w:spacing w:after="100"/>
      </w:pPr>
      <w:r>
        <w:rPr>
          <w:rFonts w:ascii="Times New Roman" w:cs="Times New Roman" w:eastAsia="Times New Roman" w:hAnsi="Times New Roman"/>
          <w:i/>
          <w:iCs/>
        </w:rPr>
        <w:t xml:space="preserve">Exposición en una semana de validación con el estado escalado y sin escalar (semilla 42)</w:t>
      </w:r>
    </w:p>
    <w:p>
      <w:pPr>
        <w:keepNext w:val="false"/>
        <w:spacing w:after="60"/>
        <w:jc w:val="center"/>
      </w:pPr>
      <w:r>
        <w:drawing>
          <wp:inline distT="0" distB="0" distL="0" distR="0">
            <wp:extent cx="5334000" cy="2162175"/>
            <wp:effectExtent t="0" r="0" b="0" l="0"/>
            <wp:docPr id="3" name="figura3" descr="Exposición en una semana de validación con el estado escalado y sin escalar (semilla 42)" title="Exposición en una semana de validación con el estado escalado y sin escalar (semilla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162175"/>
                    </a:xfrm>
                    <a:prstGeom prst="rect">
                      <a:avLst/>
                    </a:prstGeom>
                  </pic:spPr>
                </pic:pic>
              </a:graphicData>
            </a:graphic>
          </wp:inline>
        </w:drawing>
      </w:r>
    </w:p>
    <w:p>
      <w:pPr>
        <w:spacing w:after="140" w:line="300"/>
        <w:jc w:val="both"/>
      </w:pPr>
      <w:r>
        <w:rPr>
          <w:rFonts w:ascii="Times New Roman" w:cs="Times New Roman" w:eastAsia="Times New Roman" w:hAnsi="Times New Roman"/>
        </w:rPr>
        <w:t xml:space="preserve">Con el estado escalado, la mejor acción cambia de una hora a otra según los indicadores y casi no depende de la posición actual, que es la que determina el costo. Con la semilla 42 el agente elige 50 % cerca del 60 % de las horas esté donde esté. Los costos están dentro de R1, pero su señal es débil frente al error de la red, y los indicadores no anticipan la dirección (sección 5.8).</w:t>
      </w:r>
    </w:p>
    <w:p>
      <w:pPr>
        <w:pStyle w:val="Heading2"/>
        <w:keepNext/>
      </w:pPr>
      <w:r>
        <w:rPr>
          <w:rFonts w:ascii="Times New Roman" w:cs="Times New Roman" w:eastAsia="Times New Roman" w:hAnsi="Times New Roman"/>
        </w:rPr>
        <w:t xml:space="preserve">7.3. Iteración 2: R2, castigo por riesgo</w:t>
      </w:r>
    </w:p>
    <w:p>
      <w:pPr>
        <w:spacing w:after="160" w:before="80"/>
        <w:jc w:val="center"/>
      </w:pPr>
      <w:r>
        <w:rPr>
          <w:rFonts w:ascii="Times New Roman" w:cs="Times New Roman" w:eastAsia="Times New Roman" w:hAnsi="Times New Roman"/>
          <w:sz w:val="24"/>
          <w:szCs w:val="24"/>
        </w:rPr>
        <w:t xml:space="preserve">r</w:t>
      </w:r>
      <w:r>
        <w:rPr>
          <w:rFonts w:ascii="Times New Roman" w:cs="Times New Roman" w:eastAsia="Times New Roman" w:hAnsi="Times New Roman"/>
          <w:sz w:val="24"/>
          <w:szCs w:val="24"/>
          <w:vertAlign w:val="subscript"/>
        </w:rPr>
        <w:t xml:space="preserve">t</w:t>
      </w:r>
      <w:r>
        <w:rPr>
          <w:rFonts w:ascii="Times New Roman" w:cs="Times New Roman" w:eastAsia="Times New Roman" w:hAnsi="Times New Roman"/>
          <w:sz w:val="24"/>
          <w:szCs w:val="24"/>
        </w:rPr>
        <w:t xml:space="preserve"> = ln( V</w:t>
      </w:r>
      <w:r>
        <w:rPr>
          <w:rFonts w:ascii="Times New Roman" w:cs="Times New Roman" w:eastAsia="Times New Roman" w:hAnsi="Times New Roman"/>
          <w:sz w:val="24"/>
          <w:szCs w:val="24"/>
          <w:vertAlign w:val="subscript"/>
        </w:rPr>
        <w:t xml:space="preserve">t+1</w:t>
      </w:r>
      <w:r>
        <w:rPr>
          <w:rFonts w:ascii="Times New Roman" w:cs="Times New Roman" w:eastAsia="Times New Roman" w:hAnsi="Times New Roman"/>
          <w:sz w:val="24"/>
          <w:szCs w:val="24"/>
        </w:rPr>
        <w:t xml:space="preserve"> / V</w:t>
      </w:r>
      <w:r>
        <w:rPr>
          <w:rFonts w:ascii="Times New Roman" w:cs="Times New Roman" w:eastAsia="Times New Roman" w:hAnsi="Times New Roman"/>
          <w:sz w:val="24"/>
          <w:szCs w:val="24"/>
          <w:vertAlign w:val="subscript"/>
        </w:rPr>
        <w:t xml:space="preserve">t</w:t>
      </w:r>
      <w:r>
        <w:rPr>
          <w:rFonts w:ascii="Times New Roman" w:cs="Times New Roman" w:eastAsia="Times New Roman" w:hAnsi="Times New Roman"/>
          <w:sz w:val="24"/>
          <w:szCs w:val="24"/>
        </w:rPr>
        <w:t xml:space="preserve"> ) − λ · [ ln( V</w:t>
      </w:r>
      <w:r>
        <w:rPr>
          <w:rFonts w:ascii="Times New Roman" w:cs="Times New Roman" w:eastAsia="Times New Roman" w:hAnsi="Times New Roman"/>
          <w:sz w:val="24"/>
          <w:szCs w:val="24"/>
          <w:vertAlign w:val="subscript"/>
        </w:rPr>
        <w:t xml:space="preserve">t+1</w:t>
      </w:r>
      <w:r>
        <w:rPr>
          <w:rFonts w:ascii="Times New Roman" w:cs="Times New Roman" w:eastAsia="Times New Roman" w:hAnsi="Times New Roman"/>
          <w:sz w:val="24"/>
          <w:szCs w:val="24"/>
        </w:rPr>
        <w:t xml:space="preserve"> / V</w:t>
      </w:r>
      <w:r>
        <w:rPr>
          <w:rFonts w:ascii="Times New Roman" w:cs="Times New Roman" w:eastAsia="Times New Roman" w:hAnsi="Times New Roman"/>
          <w:sz w:val="24"/>
          <w:szCs w:val="24"/>
          <w:vertAlign w:val="subscript"/>
        </w:rPr>
        <w:t xml:space="preserve">t</w:t>
      </w:r>
      <w:r>
        <w:rPr>
          <w:rFonts w:ascii="Times New Roman" w:cs="Times New Roman" w:eastAsia="Times New Roman" w:hAnsi="Times New Roman"/>
          <w:sz w:val="24"/>
          <w:szCs w:val="24"/>
        </w:rPr>
        <w:t xml:space="preserve"> ) ]</w:t>
      </w:r>
      <w:r>
        <w:rPr>
          <w:rFonts w:ascii="Times New Roman" w:cs="Times New Roman" w:eastAsia="Times New Roman" w:hAnsi="Times New Roman"/>
          <w:sz w:val="24"/>
          <w:szCs w:val="24"/>
          <w:vertAlign w:val="superscript"/>
        </w:rPr>
        <w:t xml:space="preserve">2</w:t>
      </w:r>
      <w:r>
        <w:rPr>
          <w:rFonts w:ascii="Times New Roman" w:cs="Times New Roman" w:eastAsia="Times New Roman" w:hAnsi="Times New Roman"/>
          <w:sz w:val="24"/>
          <w:szCs w:val="24"/>
        </w:rPr>
        <w:t xml:space="preserve">,     λ = 0,5</w:t>
      </w:r>
    </w:p>
    <w:p>
      <w:pPr>
        <w:spacing w:after="140" w:line="300"/>
        <w:jc w:val="both"/>
      </w:pPr>
      <w:r>
        <w:rPr>
          <w:rFonts w:ascii="Times New Roman" w:cs="Times New Roman" w:eastAsia="Times New Roman" w:hAnsi="Times New Roman"/>
          <w:b/>
          <w:bCs/>
        </w:rPr>
        <w:t xml:space="preserve">Justificación.</w:t>
      </w:r>
      <w:r>
        <w:rPr>
          <w:rFonts w:ascii="Times New Roman" w:cs="Times New Roman" w:eastAsia="Times New Roman" w:hAnsi="Times New Roman"/>
        </w:rPr>
        <w:t xml:space="preserve"> Los agentes de R1 que quedaron cerca de 100 % tuvieron el mismo drawdown que comprar y mantener: no controlaban el riesgo. Para movimientos pequeños, ln(1 + w·x) ≈ w·x − (w·x)</w:t>
      </w:r>
      <w:r>
        <w:rPr>
          <w:rFonts w:ascii="Times New Roman" w:cs="Times New Roman" w:eastAsia="Times New Roman" w:hAnsi="Times New Roman"/>
          <w:vertAlign w:val="superscript"/>
        </w:rPr>
        <w:t xml:space="preserve">2</w:t>
      </w:r>
      <w:r>
        <w:rPr>
          <w:rFonts w:ascii="Times New Roman" w:cs="Times New Roman" w:eastAsia="Times New Roman" w:hAnsi="Times New Roman"/>
        </w:rPr>
        <w:t xml:space="preserve">/2, así que R1 ya castiga un poco la varianza. Con λ = 0,5 ese castigo se duplica, y la exposición que conviene en promedio baja a la mitad. El término cuadrático depende de la volatilidad, que sí es predecible desde el estado (correlación de 0,366 entre </w:t>
      </w:r>
      <w:r>
        <w:rPr>
          <w:rFonts w:ascii="Consolas" w:cs="Consolas" w:eastAsia="Consolas" w:hAnsi="Consolas"/>
          <w:sz w:val="21"/>
          <w:szCs w:val="21"/>
        </w:rPr>
        <w:t xml:space="preserve">volatility_24h</w:t>
      </w:r>
      <w:r>
        <w:rPr>
          <w:rFonts w:ascii="Times New Roman" w:cs="Times New Roman" w:eastAsia="Times New Roman" w:hAnsi="Times New Roman"/>
        </w:rPr>
        <w:t xml:space="preserve"> y el tamaño del movimiento siguiente), mientras que la dirección no lo es. La idea era darle al agente una señal que pudiera aprender: bajar la exposición cuando la volatilidad sube.</w:t>
      </w:r>
    </w:p>
    <w:p>
      <w:pPr>
        <w:spacing w:after="140" w:line="300"/>
        <w:jc w:val="both"/>
      </w:pPr>
      <w:r>
        <w:rPr>
          <w:rFonts w:ascii="Times New Roman" w:cs="Times New Roman" w:eastAsia="Times New Roman" w:hAnsi="Times New Roman"/>
          <w:b/>
          <w:bCs/>
        </w:rPr>
        <w:t xml:space="preserve">Resultado</w:t>
      </w:r>
      <w:r>
        <w:rPr>
          <w:rFonts w:ascii="Times New Roman" w:cs="Times New Roman" w:eastAsia="Times New Roman" w:hAnsi="Times New Roman"/>
        </w:rPr>
        <w:t xml:space="preserve"> (estado escalado): mediana de +21,4 % en validación, drawdown de −22,8 %, 827 cambios de exposición y 4.706 USD de costos; dentro de muestra, −78,6 %. R2 no corrigió la sobreoperación y empeoró el retorno y el drawdown.</w:t>
      </w:r>
    </w:p>
    <w:p>
      <w:pPr>
        <w:spacing w:after="140" w:line="300"/>
        <w:jc w:val="both"/>
      </w:pPr>
      <w:r>
        <w:rPr>
          <w:rFonts w:ascii="Times New Roman" w:cs="Times New Roman" w:eastAsia="Times New Roman" w:hAnsi="Times New Roman"/>
          <w:b/>
          <w:bCs/>
        </w:rPr>
        <w:t xml:space="preserve">Por qué.</w:t>
      </w:r>
      <w:r>
        <w:rPr>
          <w:rFonts w:ascii="Times New Roman" w:cs="Times New Roman" w:eastAsia="Times New Roman" w:hAnsi="Times New Roman"/>
        </w:rPr>
        <w:t xml:space="preserve"> El castigo es muy pequeño frente al ruido: en el ajuste, el cuadrado del retorno horario vale en promedio 6,5 × 10</w:t>
      </w:r>
      <w:r>
        <w:rPr>
          <w:rFonts w:ascii="Times New Roman" w:cs="Times New Roman" w:eastAsia="Times New Roman" w:hAnsi="Times New Roman"/>
          <w:vertAlign w:val="superscript"/>
        </w:rPr>
        <w:t xml:space="preserve">−5</w:t>
      </w:r>
      <w:r>
        <w:rPr>
          <w:rFonts w:ascii="Times New Roman" w:cs="Times New Roman" w:eastAsia="Times New Roman" w:hAnsi="Times New Roman"/>
        </w:rPr>
        <w:t xml:space="preserve">, así que el término de riesgo es de unas 3 × 10</w:t>
      </w:r>
      <w:r>
        <w:rPr>
          <w:rFonts w:ascii="Times New Roman" w:cs="Times New Roman" w:eastAsia="Times New Roman" w:hAnsi="Times New Roman"/>
          <w:vertAlign w:val="superscript"/>
        </w:rPr>
        <w:t xml:space="preserve">−5</w:t>
      </w:r>
      <w:r>
        <w:rPr>
          <w:rFonts w:ascii="Times New Roman" w:cs="Times New Roman" w:eastAsia="Times New Roman" w:hAnsi="Times New Roman"/>
        </w:rPr>
        <w:t xml:space="preserve"> por hora a exposición completa, cuando la desviación del retorno horario es de 8 × 10</w:t>
      </w:r>
      <w:r>
        <w:rPr>
          <w:rFonts w:ascii="Times New Roman" w:cs="Times New Roman" w:eastAsia="Times New Roman" w:hAnsi="Times New Roman"/>
          <w:vertAlign w:val="superscript"/>
        </w:rPr>
        <w:t xml:space="preserve">−3</w:t>
      </w:r>
      <w:r>
        <w:rPr>
          <w:rFonts w:ascii="Times New Roman" w:cs="Times New Roman" w:eastAsia="Times New Roman" w:hAnsi="Times New Roman"/>
        </w:rPr>
        <w:t xml:space="preserve">. Además, el problema principal ya no era el riesgo sino la rotación. Castigar el riesgo no sirve si el agente no sabe mantener una posición.</w:t>
      </w:r>
    </w:p>
    <w:p>
      <w:pPr>
        <w:pStyle w:val="Heading2"/>
        <w:keepNext/>
      </w:pPr>
      <w:r>
        <w:rPr>
          <w:rFonts w:ascii="Times New Roman" w:cs="Times New Roman" w:eastAsia="Times New Roman" w:hAnsi="Times New Roman"/>
        </w:rPr>
        <w:t xml:space="preserve">7.4. Iteración 3: R3, castigo por cambiar de exposición</w:t>
      </w:r>
    </w:p>
    <w:p>
      <w:pPr>
        <w:spacing w:after="160" w:before="80"/>
        <w:jc w:val="center"/>
      </w:pPr>
      <w:r>
        <w:rPr>
          <w:rFonts w:ascii="Times New Roman" w:cs="Times New Roman" w:eastAsia="Times New Roman" w:hAnsi="Times New Roman"/>
          <w:sz w:val="24"/>
          <w:szCs w:val="24"/>
        </w:rPr>
        <w:t xml:space="preserve">r</w:t>
      </w:r>
      <w:r>
        <w:rPr>
          <w:rFonts w:ascii="Times New Roman" w:cs="Times New Roman" w:eastAsia="Times New Roman" w:hAnsi="Times New Roman"/>
          <w:sz w:val="24"/>
          <w:szCs w:val="24"/>
          <w:vertAlign w:val="subscript"/>
        </w:rPr>
        <w:t xml:space="preserve">t</w:t>
      </w:r>
      <w:r>
        <w:rPr>
          <w:rFonts w:ascii="Times New Roman" w:cs="Times New Roman" w:eastAsia="Times New Roman" w:hAnsi="Times New Roman"/>
          <w:sz w:val="24"/>
          <w:szCs w:val="24"/>
        </w:rPr>
        <w:t xml:space="preserve"> = ln( V</w:t>
      </w:r>
      <w:r>
        <w:rPr>
          <w:rFonts w:ascii="Times New Roman" w:cs="Times New Roman" w:eastAsia="Times New Roman" w:hAnsi="Times New Roman"/>
          <w:sz w:val="24"/>
          <w:szCs w:val="24"/>
          <w:vertAlign w:val="subscript"/>
        </w:rPr>
        <w:t xml:space="preserve">t+1</w:t>
      </w:r>
      <w:r>
        <w:rPr>
          <w:rFonts w:ascii="Times New Roman" w:cs="Times New Roman" w:eastAsia="Times New Roman" w:hAnsi="Times New Roman"/>
          <w:sz w:val="24"/>
          <w:szCs w:val="24"/>
        </w:rPr>
        <w:t xml:space="preserve"> / V</w:t>
      </w:r>
      <w:r>
        <w:rPr>
          <w:rFonts w:ascii="Times New Roman" w:cs="Times New Roman" w:eastAsia="Times New Roman" w:hAnsi="Times New Roman"/>
          <w:sz w:val="24"/>
          <w:szCs w:val="24"/>
          <w:vertAlign w:val="subscript"/>
        </w:rPr>
        <w:t xml:space="preserve">t</w:t>
      </w:r>
      <w:r>
        <w:rPr>
          <w:rFonts w:ascii="Times New Roman" w:cs="Times New Roman" w:eastAsia="Times New Roman" w:hAnsi="Times New Roman"/>
          <w:sz w:val="24"/>
          <w:szCs w:val="24"/>
        </w:rPr>
        <w:t xml:space="preserve"> ) − λ · [ ln( V</w:t>
      </w:r>
      <w:r>
        <w:rPr>
          <w:rFonts w:ascii="Times New Roman" w:cs="Times New Roman" w:eastAsia="Times New Roman" w:hAnsi="Times New Roman"/>
          <w:sz w:val="24"/>
          <w:szCs w:val="24"/>
          <w:vertAlign w:val="subscript"/>
        </w:rPr>
        <w:t xml:space="preserve">t+1</w:t>
      </w:r>
      <w:r>
        <w:rPr>
          <w:rFonts w:ascii="Times New Roman" w:cs="Times New Roman" w:eastAsia="Times New Roman" w:hAnsi="Times New Roman"/>
          <w:sz w:val="24"/>
          <w:szCs w:val="24"/>
        </w:rPr>
        <w:t xml:space="preserve"> / V</w:t>
      </w:r>
      <w:r>
        <w:rPr>
          <w:rFonts w:ascii="Times New Roman" w:cs="Times New Roman" w:eastAsia="Times New Roman" w:hAnsi="Times New Roman"/>
          <w:sz w:val="24"/>
          <w:szCs w:val="24"/>
          <w:vertAlign w:val="subscript"/>
        </w:rPr>
        <w:t xml:space="preserve">t</w:t>
      </w:r>
      <w:r>
        <w:rPr>
          <w:rFonts w:ascii="Times New Roman" w:cs="Times New Roman" w:eastAsia="Times New Roman" w:hAnsi="Times New Roman"/>
          <w:sz w:val="24"/>
          <w:szCs w:val="24"/>
        </w:rPr>
        <w:t xml:space="preserve"> ) ]</w:t>
      </w:r>
      <w:r>
        <w:rPr>
          <w:rFonts w:ascii="Times New Roman" w:cs="Times New Roman" w:eastAsia="Times New Roman" w:hAnsi="Times New Roman"/>
          <w:sz w:val="24"/>
          <w:szCs w:val="24"/>
          <w:vertAlign w:val="superscript"/>
        </w:rPr>
        <w:t xml:space="preserve">2</w:t>
      </w:r>
      <w:r>
        <w:rPr>
          <w:rFonts w:ascii="Times New Roman" w:cs="Times New Roman" w:eastAsia="Times New Roman" w:hAnsi="Times New Roman"/>
          <w:sz w:val="24"/>
          <w:szCs w:val="24"/>
        </w:rPr>
        <w:t xml:space="preserve"> − κ · | w</w:t>
      </w:r>
      <w:r>
        <w:rPr>
          <w:rFonts w:ascii="Times New Roman" w:cs="Times New Roman" w:eastAsia="Times New Roman" w:hAnsi="Times New Roman"/>
          <w:sz w:val="24"/>
          <w:szCs w:val="24"/>
          <w:vertAlign w:val="subscript"/>
        </w:rPr>
        <w:t xml:space="preserve">t</w:t>
      </w:r>
      <w:r>
        <w:rPr>
          <w:rFonts w:ascii="Times New Roman" w:cs="Times New Roman" w:eastAsia="Times New Roman" w:hAnsi="Times New Roman"/>
          <w:sz w:val="24"/>
          <w:szCs w:val="24"/>
        </w:rPr>
        <w:t xml:space="preserve"> − w</w:t>
      </w:r>
      <w:r>
        <w:rPr>
          <w:rFonts w:ascii="Times New Roman" w:cs="Times New Roman" w:eastAsia="Times New Roman" w:hAnsi="Times New Roman"/>
          <w:sz w:val="24"/>
          <w:szCs w:val="24"/>
          <w:vertAlign w:val="subscript"/>
        </w:rPr>
        <w:t xml:space="preserve">t−1</w:t>
      </w:r>
      <w:r>
        <w:rPr>
          <w:rFonts w:ascii="Times New Roman" w:cs="Times New Roman" w:eastAsia="Times New Roman" w:hAnsi="Times New Roman"/>
          <w:sz w:val="24"/>
          <w:szCs w:val="24"/>
        </w:rPr>
        <w:t xml:space="preserve"> |</w:t>
      </w:r>
    </w:p>
    <w:p>
      <w:pPr>
        <w:spacing w:after="140" w:line="300"/>
        <w:jc w:val="both"/>
      </w:pPr>
      <w:r>
        <w:rPr>
          <w:rFonts w:ascii="Times New Roman" w:cs="Times New Roman" w:eastAsia="Times New Roman" w:hAnsi="Times New Roman"/>
        </w:rPr>
        <w:t xml:space="preserve">w</w:t>
      </w:r>
      <w:r>
        <w:rPr>
          <w:rFonts w:ascii="Times New Roman" w:cs="Times New Roman" w:eastAsia="Times New Roman" w:hAnsi="Times New Roman"/>
          <w:vertAlign w:val="subscript"/>
        </w:rPr>
        <w:t xml:space="preserve">t</w:t>
      </w:r>
      <w:r>
        <w:rPr>
          <w:rFonts w:ascii="Times New Roman" w:cs="Times New Roman" w:eastAsia="Times New Roman" w:hAnsi="Times New Roman"/>
        </w:rPr>
        <w:t xml:space="preserve"> es la exposición objetivo elegida en </w:t>
      </w:r>
      <w:r>
        <w:rPr>
          <w:rFonts w:ascii="Times New Roman" w:cs="Times New Roman" w:eastAsia="Times New Roman" w:hAnsi="Times New Roman"/>
          <w:i/>
          <w:iCs/>
        </w:rPr>
        <w:t xml:space="preserve">t</w:t>
      </w:r>
      <w:r>
        <w:rPr>
          <w:rFonts w:ascii="Times New Roman" w:cs="Times New Roman" w:eastAsia="Times New Roman" w:hAnsi="Times New Roman"/>
        </w:rPr>
        <w:t xml:space="preserve">. El costo real (0,1 %) ya está en V</w:t>
      </w:r>
      <w:r>
        <w:rPr>
          <w:rFonts w:ascii="Times New Roman" w:cs="Times New Roman" w:eastAsia="Times New Roman" w:hAnsi="Times New Roman"/>
          <w:vertAlign w:val="subscript"/>
        </w:rPr>
        <w:t xml:space="preserve">t+1</w:t>
      </w:r>
      <w:r>
        <w:rPr>
          <w:rFonts w:ascii="Times New Roman" w:cs="Times New Roman" w:eastAsia="Times New Roman" w:hAnsi="Times New Roman"/>
        </w:rPr>
        <w:t xml:space="preserve">; κ es un castigo adicional que existe </w:t>
      </w:r>
      <w:r>
        <w:rPr>
          <w:rFonts w:ascii="Times New Roman" w:cs="Times New Roman" w:eastAsia="Times New Roman" w:hAnsi="Times New Roman"/>
          <w:b/>
          <w:bCs/>
        </w:rPr>
        <w:t xml:space="preserve">solo para el aprendizaje</w:t>
      </w:r>
      <w:r>
        <w:rPr>
          <w:rFonts w:ascii="Times New Roman" w:cs="Times New Roman" w:eastAsia="Times New Roman" w:hAnsi="Times New Roman"/>
        </w:rPr>
        <w:t xml:space="preserve">: obliga a que un cambio de nivel tenga que valer la pena. Se mantuvo λ = 0,5 y se probaron κ = 0,002, 0,005 y 0,010, es decir, 2, 5 y 10 veces el costo real de un cambio completo. El valor de κ se elige en validación, como cualquier otro parámetro.</w:t>
      </w:r>
    </w:p>
    <w:p>
      <w:pPr>
        <w:keepNext/>
        <w:spacing w:after="40" w:before="160"/>
      </w:pPr>
      <w:r>
        <w:rPr>
          <w:rFonts w:ascii="Times New Roman" w:cs="Times New Roman" w:eastAsia="Times New Roman" w:hAnsi="Times New Roman"/>
          <w:b/>
          <w:bCs/>
        </w:rPr>
        <w:t xml:space="preserve">Tabla 8</w:t>
      </w:r>
    </w:p>
    <w:p>
      <w:pPr>
        <w:keepNext/>
        <w:spacing w:after="100"/>
      </w:pPr>
      <w:r>
        <w:rPr>
          <w:rFonts w:ascii="Times New Roman" w:cs="Times New Roman" w:eastAsia="Times New Roman" w:hAnsi="Times New Roman"/>
          <w:i/>
          <w:iCs/>
        </w:rPr>
        <w:t xml:space="preserve">R3 según κ (mediana de 5 semillas)</w:t>
      </w:r>
    </w:p>
    <w:tbl>
      <w:tblPr>
        <w:tblW w:type="dxa" w:w="8838"/>
        <w:tblBorders>
          <w:top w:val="single" w:color="auto" w:sz="4"/>
          <w:left w:val="single" w:color="auto" w:sz="4"/>
          <w:bottom w:val="single" w:color="auto" w:sz="4"/>
          <w:right w:val="single" w:color="auto" w:sz="4"/>
          <w:insideH w:val="single" w:color="auto" w:sz="4"/>
          <w:insideV w:val="single" w:color="auto" w:sz="4"/>
        </w:tblBorders>
      </w:tblPr>
      <w:tblGrid>
        <w:gridCol w:w="838"/>
        <w:gridCol w:w="1400"/>
        <w:gridCol w:w="1300"/>
        <w:gridCol w:w="1200"/>
        <w:gridCol w:w="1000"/>
        <w:gridCol w:w="1400"/>
        <w:gridCol w:w="1700"/>
      </w:tblGrid>
      <w:tr>
        <w:trPr>
          <w:tblHeader/>
        </w:trPr>
        <w:tc>
          <w:tcPr>
            <w:tcW w:type="dxa" w:w="838"/>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19"/>
                <w:szCs w:val="19"/>
              </w:rPr>
              <w:t xml:space="preserve">κ</w:t>
            </w:r>
          </w:p>
        </w:tc>
        <w:tc>
          <w:tcPr>
            <w:tcW w:type="dxa" w:w="1400"/>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19"/>
                <w:szCs w:val="19"/>
              </w:rPr>
              <w:t xml:space="preserve">Retorno validación</w:t>
            </w:r>
          </w:p>
        </w:tc>
        <w:tc>
          <w:tcPr>
            <w:tcW w:type="dxa" w:w="1300"/>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19"/>
                <w:szCs w:val="19"/>
              </w:rPr>
              <w:t xml:space="preserve">Máx. drawdown</w:t>
            </w:r>
          </w:p>
        </w:tc>
        <w:tc>
          <w:tcPr>
            <w:tcW w:type="dxa" w:w="1200"/>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19"/>
                <w:szCs w:val="19"/>
              </w:rPr>
              <w:t xml:space="preserve">Costos (USD)</w:t>
            </w:r>
          </w:p>
        </w:tc>
        <w:tc>
          <w:tcPr>
            <w:tcW w:type="dxa" w:w="1000"/>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19"/>
                <w:szCs w:val="19"/>
              </w:rPr>
              <w:t xml:space="preserve">Cambios</w:t>
            </w:r>
          </w:p>
        </w:tc>
        <w:tc>
          <w:tcPr>
            <w:tcW w:type="dxa" w:w="1400"/>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19"/>
                <w:szCs w:val="19"/>
              </w:rPr>
              <w:t xml:space="preserve">Exposición media</w:t>
            </w:r>
          </w:p>
        </w:tc>
        <w:tc>
          <w:tcPr>
            <w:tcW w:type="dxa" w:w="1700"/>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19"/>
                <w:szCs w:val="19"/>
              </w:rPr>
              <w:t xml:space="preserve">Retorno en ajuste</w:t>
            </w:r>
          </w:p>
        </w:tc>
      </w:tr>
      <w:tr>
        <w:trPr>
          <w:cantSplit/>
        </w:trPr>
        <w:tc>
          <w:tcPr>
            <w:tcW w:type="dxa" w:w="8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center"/>
            </w:pPr>
            <w:r>
              <w:rPr>
                <w:rFonts w:ascii="Times New Roman" w:cs="Times New Roman" w:eastAsia="Times New Roman" w:hAnsi="Times New Roman"/>
                <w:b w:val="false"/>
                <w:bCs w:val="false"/>
                <w:sz w:val="19"/>
                <w:szCs w:val="19"/>
              </w:rPr>
              <w:t xml:space="preserve">0,002</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right"/>
            </w:pPr>
            <w:r>
              <w:rPr>
                <w:rFonts w:ascii="Times New Roman" w:cs="Times New Roman" w:eastAsia="Times New Roman" w:hAnsi="Times New Roman"/>
                <w:b w:val="false"/>
                <w:bCs w:val="false"/>
                <w:sz w:val="19"/>
                <w:szCs w:val="19"/>
              </w:rPr>
              <w:t xml:space="preserve">+92,2 %</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right"/>
            </w:pPr>
            <w:r>
              <w:rPr>
                <w:rFonts w:ascii="Times New Roman" w:cs="Times New Roman" w:eastAsia="Times New Roman" w:hAnsi="Times New Roman"/>
                <w:b w:val="false"/>
                <w:bCs w:val="false"/>
                <w:sz w:val="19"/>
                <w:szCs w:val="19"/>
              </w:rPr>
              <w:t xml:space="preserve">−16,2 %</w:t>
            </w:r>
          </w:p>
        </w:tc>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right"/>
            </w:pPr>
            <w:r>
              <w:rPr>
                <w:rFonts w:ascii="Times New Roman" w:cs="Times New Roman" w:eastAsia="Times New Roman" w:hAnsi="Times New Roman"/>
                <w:b w:val="false"/>
                <w:bCs w:val="false"/>
                <w:sz w:val="19"/>
                <w:szCs w:val="19"/>
              </w:rPr>
              <w:t xml:space="preserve">2.659</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right"/>
            </w:pPr>
            <w:r>
              <w:rPr>
                <w:rFonts w:ascii="Times New Roman" w:cs="Times New Roman" w:eastAsia="Times New Roman" w:hAnsi="Times New Roman"/>
                <w:b w:val="false"/>
                <w:bCs w:val="false"/>
                <w:sz w:val="19"/>
                <w:szCs w:val="19"/>
              </w:rPr>
              <w:t xml:space="preserve">401</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right"/>
            </w:pPr>
            <w:r>
              <w:rPr>
                <w:rFonts w:ascii="Times New Roman" w:cs="Times New Roman" w:eastAsia="Times New Roman" w:hAnsi="Times New Roman"/>
                <w:b w:val="false"/>
                <w:bCs w:val="false"/>
                <w:sz w:val="19"/>
                <w:szCs w:val="19"/>
              </w:rPr>
              <w:t xml:space="preserve">52 %</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right"/>
            </w:pPr>
            <w:r>
              <w:rPr>
                <w:rFonts w:ascii="Times New Roman" w:cs="Times New Roman" w:eastAsia="Times New Roman" w:hAnsi="Times New Roman"/>
                <w:b w:val="false"/>
                <w:bCs w:val="false"/>
                <w:sz w:val="19"/>
                <w:szCs w:val="19"/>
              </w:rPr>
              <w:t xml:space="preserve">−32,5 %</w:t>
            </w:r>
          </w:p>
        </w:tc>
      </w:tr>
      <w:tr>
        <w:trPr>
          <w:cantSplit/>
        </w:trPr>
        <w:tc>
          <w:tcPr>
            <w:tcW w:type="dxa" w:w="8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center"/>
            </w:pPr>
            <w:r>
              <w:rPr>
                <w:rFonts w:ascii="Times New Roman" w:cs="Times New Roman" w:eastAsia="Times New Roman" w:hAnsi="Times New Roman"/>
                <w:b w:val="false"/>
                <w:bCs w:val="false"/>
                <w:sz w:val="19"/>
                <w:szCs w:val="19"/>
              </w:rPr>
              <w:t xml:space="preserve">0,005</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right"/>
            </w:pPr>
            <w:r>
              <w:rPr>
                <w:rFonts w:ascii="Times New Roman" w:cs="Times New Roman" w:eastAsia="Times New Roman" w:hAnsi="Times New Roman"/>
                <w:b w:val="false"/>
                <w:bCs w:val="false"/>
                <w:sz w:val="19"/>
                <w:szCs w:val="19"/>
              </w:rPr>
              <w:t xml:space="preserve">+44,6 %</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right"/>
            </w:pPr>
            <w:r>
              <w:rPr>
                <w:rFonts w:ascii="Times New Roman" w:cs="Times New Roman" w:eastAsia="Times New Roman" w:hAnsi="Times New Roman"/>
                <w:b w:val="false"/>
                <w:bCs w:val="false"/>
                <w:sz w:val="19"/>
                <w:szCs w:val="19"/>
              </w:rPr>
              <w:t xml:space="preserve">−13,2 %</w:t>
            </w:r>
          </w:p>
        </w:tc>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right"/>
            </w:pPr>
            <w:r>
              <w:rPr>
                <w:rFonts w:ascii="Times New Roman" w:cs="Times New Roman" w:eastAsia="Times New Roman" w:hAnsi="Times New Roman"/>
                <w:b w:val="false"/>
                <w:bCs w:val="false"/>
                <w:sz w:val="19"/>
                <w:szCs w:val="19"/>
              </w:rPr>
              <w:t xml:space="preserve">1.434</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right"/>
            </w:pPr>
            <w:r>
              <w:rPr>
                <w:rFonts w:ascii="Times New Roman" w:cs="Times New Roman" w:eastAsia="Times New Roman" w:hAnsi="Times New Roman"/>
                <w:b w:val="false"/>
                <w:bCs w:val="false"/>
                <w:sz w:val="19"/>
                <w:szCs w:val="19"/>
              </w:rPr>
              <w:t xml:space="preserve">160</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right"/>
            </w:pPr>
            <w:r>
              <w:rPr>
                <w:rFonts w:ascii="Times New Roman" w:cs="Times New Roman" w:eastAsia="Times New Roman" w:hAnsi="Times New Roman"/>
                <w:b w:val="false"/>
                <w:bCs w:val="false"/>
                <w:sz w:val="19"/>
                <w:szCs w:val="19"/>
              </w:rPr>
              <w:t xml:space="preserve">27 %</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right"/>
            </w:pPr>
            <w:r>
              <w:rPr>
                <w:rFonts w:ascii="Times New Roman" w:cs="Times New Roman" w:eastAsia="Times New Roman" w:hAnsi="Times New Roman"/>
                <w:b w:val="false"/>
                <w:bCs w:val="false"/>
                <w:sz w:val="19"/>
                <w:szCs w:val="19"/>
              </w:rPr>
              <w:t xml:space="preserve">−19,0 %</w:t>
            </w:r>
          </w:p>
        </w:tc>
      </w:tr>
      <w:tr>
        <w:trPr>
          <w:cantSplit/>
        </w:trPr>
        <w:tc>
          <w:tcPr>
            <w:tcW w:type="dxa" w:w="8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center"/>
            </w:pPr>
            <w:r>
              <w:rPr>
                <w:rFonts w:ascii="Times New Roman" w:cs="Times New Roman" w:eastAsia="Times New Roman" w:hAnsi="Times New Roman"/>
                <w:b w:val="false"/>
                <w:bCs w:val="false"/>
                <w:sz w:val="19"/>
                <w:szCs w:val="19"/>
              </w:rPr>
              <w:t xml:space="preserve">0,010</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right"/>
            </w:pPr>
            <w:r>
              <w:rPr>
                <w:rFonts w:ascii="Times New Roman" w:cs="Times New Roman" w:eastAsia="Times New Roman" w:hAnsi="Times New Roman"/>
                <w:b w:val="false"/>
                <w:bCs w:val="false"/>
                <w:sz w:val="19"/>
                <w:szCs w:val="19"/>
              </w:rPr>
              <w:t xml:space="preserve">+30,6 %</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right"/>
            </w:pPr>
            <w:r>
              <w:rPr>
                <w:rFonts w:ascii="Times New Roman" w:cs="Times New Roman" w:eastAsia="Times New Roman" w:hAnsi="Times New Roman"/>
                <w:b w:val="false"/>
                <w:bCs w:val="false"/>
                <w:sz w:val="19"/>
                <w:szCs w:val="19"/>
              </w:rPr>
              <w:t xml:space="preserve">−7,0 %</w:t>
            </w:r>
          </w:p>
        </w:tc>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right"/>
            </w:pPr>
            <w:r>
              <w:rPr>
                <w:rFonts w:ascii="Times New Roman" w:cs="Times New Roman" w:eastAsia="Times New Roman" w:hAnsi="Times New Roman"/>
                <w:b w:val="false"/>
                <w:bCs w:val="false"/>
                <w:sz w:val="19"/>
                <w:szCs w:val="19"/>
              </w:rPr>
              <w:t xml:space="preserve">461</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right"/>
            </w:pPr>
            <w:r>
              <w:rPr>
                <w:rFonts w:ascii="Times New Roman" w:cs="Times New Roman" w:eastAsia="Times New Roman" w:hAnsi="Times New Roman"/>
                <w:b w:val="false"/>
                <w:bCs w:val="false"/>
                <w:sz w:val="19"/>
                <w:szCs w:val="19"/>
              </w:rPr>
              <w:t xml:space="preserve">67</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right"/>
            </w:pPr>
            <w:r>
              <w:rPr>
                <w:rFonts w:ascii="Times New Roman" w:cs="Times New Roman" w:eastAsia="Times New Roman" w:hAnsi="Times New Roman"/>
                <w:b w:val="false"/>
                <w:bCs w:val="false"/>
                <w:sz w:val="19"/>
                <w:szCs w:val="19"/>
              </w:rPr>
              <w:t xml:space="preserve">7 %</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right"/>
            </w:pPr>
            <w:r>
              <w:rPr>
                <w:rFonts w:ascii="Times New Roman" w:cs="Times New Roman" w:eastAsia="Times New Roman" w:hAnsi="Times New Roman"/>
                <w:b w:val="false"/>
                <w:bCs w:val="false"/>
                <w:sz w:val="19"/>
                <w:szCs w:val="19"/>
              </w:rPr>
              <w:t xml:space="preserve">+28,1 %</w:t>
            </w:r>
          </w:p>
        </w:tc>
      </w:tr>
    </w:tbl>
    <w:p>
      <w:pPr>
        <w:spacing w:after="120"/>
      </w:pPr>
    </w:p>
    <w:p>
      <w:pPr>
        <w:spacing w:after="140" w:line="300"/>
        <w:jc w:val="both"/>
      </w:pPr>
      <w:r>
        <w:rPr>
          <w:rFonts w:ascii="Times New Roman" w:cs="Times New Roman" w:eastAsia="Times New Roman" w:hAnsi="Times New Roman"/>
          <w:b/>
          <w:bCs/>
        </w:rPr>
        <w:t xml:space="preserve">Comportamiento inducido.</w:t>
      </w:r>
      <w:r>
        <w:rPr>
          <w:rFonts w:ascii="Times New Roman" w:cs="Times New Roman" w:eastAsia="Times New Roman" w:hAnsi="Times New Roman"/>
        </w:rPr>
        <w:t xml:space="preserve"> A mayor κ, menos cambios, menos costos y menor drawdown. Con κ = 0,010, R3 es la única versión que gana dentro de muestra (+28,1 %, frente a +10,5 % de comprar y mantener y +19,9 % de mantener el 50 %), con un drawdown de −39,0 % frente a −70,3 %. Pero aprendió a quedarse fuera: tiene 7 % de exposición media en validación, justo cuando el precio se multiplica por 4,5. Es el caso de un agente que </w:t>
      </w:r>
      <w:r>
        <w:rPr>
          <w:rFonts w:ascii="Times New Roman" w:cs="Times New Roman" w:eastAsia="Times New Roman" w:hAnsi="Times New Roman"/>
          <w:b/>
          <w:bCs/>
        </w:rPr>
        <w:t xml:space="preserve">permanece demasiado tiempo fuera del mercado</w:t>
      </w:r>
      <w:r>
        <w:rPr>
          <w:rFonts w:ascii="Times New Roman" w:cs="Times New Roman" w:eastAsia="Times New Roman" w:hAnsi="Times New Roman"/>
        </w:rPr>
        <w:t xml:space="preserve">.</w:t>
      </w:r>
    </w:p>
    <w:p>
      <w:pPr>
        <w:spacing w:after="140" w:line="300"/>
        <w:jc w:val="both"/>
      </w:pPr>
      <w:r>
        <w:rPr>
          <w:rFonts w:ascii="Times New Roman" w:cs="Times New Roman" w:eastAsia="Times New Roman" w:hAnsi="Times New Roman"/>
          <w:b/>
          <w:bCs/>
        </w:rPr>
        <w:t xml:space="preserve">Reward hacking.</w:t>
      </w:r>
      <w:r>
        <w:rPr>
          <w:rFonts w:ascii="Times New Roman" w:cs="Times New Roman" w:eastAsia="Times New Roman" w:hAnsi="Times New Roman"/>
        </w:rPr>
        <w:t xml:space="preserve"> R3 deja un camino fácil para obtener una recompensa alta: no invertir y no cambiar. Con exposición 0 el término de riesgo es cero y no hay castigo por rotación. En el periodo de ajuste, sin tendencia y con caídas de 70 %, esa conducta era casi óptima para la recompensa. En un mercado alcista es una mala estrategia financiera. El agente maximizó la recompensa tal como estaba escrita, no el objetivo que buscábamos.</w:t>
      </w:r>
    </w:p>
    <w:p>
      <w:pPr>
        <w:pStyle w:val="Heading2"/>
        <w:keepNext/>
      </w:pPr>
      <w:r>
        <w:rPr>
          <w:rFonts w:ascii="Times New Roman" w:cs="Times New Roman" w:eastAsia="Times New Roman" w:hAnsi="Times New Roman"/>
        </w:rPr>
        <w:t xml:space="preserve">7.5. Comparación de las versiones</w:t>
      </w:r>
    </w:p>
    <w:p>
      <w:pPr>
        <w:keepNext/>
        <w:spacing w:after="40" w:before="160"/>
      </w:pPr>
      <w:r>
        <w:rPr>
          <w:rFonts w:ascii="Times New Roman" w:cs="Times New Roman" w:eastAsia="Times New Roman" w:hAnsi="Times New Roman"/>
          <w:b/>
          <w:bCs/>
        </w:rPr>
        <w:t xml:space="preserve">Tabla 9</w:t>
      </w:r>
    </w:p>
    <w:p>
      <w:pPr>
        <w:keepNext/>
        <w:spacing w:after="100"/>
      </w:pPr>
      <w:r>
        <w:rPr>
          <w:rFonts w:ascii="Times New Roman" w:cs="Times New Roman" w:eastAsia="Times New Roman" w:hAnsi="Times New Roman"/>
          <w:i/>
          <w:iCs/>
        </w:rPr>
        <w:t xml:space="preserve">Todas las versiones en validación (mediana de 5 semillas; entre paréntesis, el rango de retornos)</w:t>
      </w:r>
    </w:p>
    <w:tbl>
      <w:tblPr>
        <w:tblW w:type="dxa" w:w="8838"/>
        <w:tblBorders>
          <w:top w:val="single" w:color="auto" w:sz="4"/>
          <w:left w:val="single" w:color="auto" w:sz="4"/>
          <w:bottom w:val="single" w:color="auto" w:sz="4"/>
          <w:right w:val="single" w:color="auto" w:sz="4"/>
          <w:insideH w:val="single" w:color="auto" w:sz="4"/>
          <w:insideV w:val="single" w:color="auto" w:sz="4"/>
        </w:tblBorders>
      </w:tblPr>
      <w:tblGrid>
        <w:gridCol w:w="1838"/>
        <w:gridCol w:w="1050"/>
        <w:gridCol w:w="2050"/>
        <w:gridCol w:w="1100"/>
        <w:gridCol w:w="1000"/>
        <w:gridCol w:w="850"/>
        <w:gridCol w:w="950"/>
      </w:tblGrid>
      <w:tr>
        <w:trPr>
          <w:tblHeader/>
        </w:trPr>
        <w:tc>
          <w:tcPr>
            <w:tcW w:type="dxa" w:w="1838"/>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17"/>
                <w:szCs w:val="17"/>
              </w:rPr>
              <w:t xml:space="preserve">Versión</w:t>
            </w:r>
          </w:p>
        </w:tc>
        <w:tc>
          <w:tcPr>
            <w:tcW w:type="dxa" w:w="1050"/>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17"/>
                <w:szCs w:val="17"/>
              </w:rPr>
              <w:t xml:space="preserve">Estado</w:t>
            </w:r>
          </w:p>
        </w:tc>
        <w:tc>
          <w:tcPr>
            <w:tcW w:type="dxa" w:w="2050"/>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17"/>
                <w:szCs w:val="17"/>
              </w:rPr>
              <w:t xml:space="preserve">Retorno</w:t>
            </w:r>
          </w:p>
        </w:tc>
        <w:tc>
          <w:tcPr>
            <w:tcW w:type="dxa" w:w="1100"/>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17"/>
                <w:szCs w:val="17"/>
              </w:rPr>
              <w:t xml:space="preserve">Máx. drawdown</w:t>
            </w:r>
          </w:p>
        </w:tc>
        <w:tc>
          <w:tcPr>
            <w:tcW w:type="dxa" w:w="1000"/>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17"/>
                <w:szCs w:val="17"/>
              </w:rPr>
              <w:t xml:space="preserve">Costos (USD)</w:t>
            </w:r>
          </w:p>
        </w:tc>
        <w:tc>
          <w:tcPr>
            <w:tcW w:type="dxa" w:w="850"/>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17"/>
                <w:szCs w:val="17"/>
              </w:rPr>
              <w:t xml:space="preserve">Cambios</w:t>
            </w:r>
          </w:p>
        </w:tc>
        <w:tc>
          <w:tcPr>
            <w:tcW w:type="dxa" w:w="950"/>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17"/>
                <w:szCs w:val="17"/>
              </w:rPr>
              <w:t xml:space="preserve">Exposición</w:t>
            </w:r>
          </w:p>
        </w:tc>
      </w:tr>
      <w:tr>
        <w:trPr>
          <w:cantSplit/>
        </w:trPr>
        <w:tc>
          <w:tcPr>
            <w:tcW w:type="dxa" w:w="18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17"/>
                <w:szCs w:val="17"/>
              </w:rPr>
              <w:t xml:space="preserve">R1</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17"/>
                <w:szCs w:val="17"/>
              </w:rPr>
              <w:t xml:space="preserve">sin escalar</w:t>
            </w:r>
          </w:p>
        </w:tc>
        <w:tc>
          <w:tcPr>
            <w:tcW w:type="dxa" w:w="20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right"/>
            </w:pPr>
            <w:r>
              <w:rPr>
                <w:rFonts w:ascii="Times New Roman" w:cs="Times New Roman" w:eastAsia="Times New Roman" w:hAnsi="Times New Roman"/>
                <w:b w:val="false"/>
                <w:bCs w:val="false"/>
                <w:sz w:val="17"/>
                <w:szCs w:val="17"/>
              </w:rPr>
              <w:t xml:space="preserve">+189,2 % (4,0 a 348,0)</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right"/>
            </w:pPr>
            <w:r>
              <w:rPr>
                <w:rFonts w:ascii="Times New Roman" w:cs="Times New Roman" w:eastAsia="Times New Roman" w:hAnsi="Times New Roman"/>
                <w:b w:val="false"/>
                <w:bCs w:val="false"/>
                <w:sz w:val="17"/>
                <w:szCs w:val="17"/>
              </w:rPr>
              <w:t xml:space="preserve">−12,2 %</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right"/>
            </w:pPr>
            <w:r>
              <w:rPr>
                <w:rFonts w:ascii="Times New Roman" w:cs="Times New Roman" w:eastAsia="Times New Roman" w:hAnsi="Times New Roman"/>
                <w:b w:val="false"/>
                <w:bCs w:val="false"/>
                <w:sz w:val="17"/>
                <w:szCs w:val="17"/>
              </w:rPr>
              <w:t xml:space="preserve">208</w:t>
            </w:r>
          </w:p>
        </w:tc>
        <w:tc>
          <w:tcPr>
            <w:tcW w:type="dxa" w:w="8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right"/>
            </w:pPr>
            <w:r>
              <w:rPr>
                <w:rFonts w:ascii="Times New Roman" w:cs="Times New Roman" w:eastAsia="Times New Roman" w:hAnsi="Times New Roman"/>
                <w:b w:val="false"/>
                <w:bCs w:val="false"/>
                <w:sz w:val="17"/>
                <w:szCs w:val="17"/>
              </w:rPr>
              <w:t xml:space="preserve">11</w:t>
            </w:r>
          </w:p>
        </w:tc>
        <w:tc>
          <w:tcPr>
            <w:tcW w:type="dxa" w:w="9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right"/>
            </w:pPr>
            <w:r>
              <w:rPr>
                <w:rFonts w:ascii="Times New Roman" w:cs="Times New Roman" w:eastAsia="Times New Roman" w:hAnsi="Times New Roman"/>
                <w:b w:val="false"/>
                <w:bCs w:val="false"/>
                <w:sz w:val="17"/>
                <w:szCs w:val="17"/>
              </w:rPr>
              <w:t xml:space="preserve">58 %</w:t>
            </w:r>
          </w:p>
        </w:tc>
      </w:tr>
      <w:tr>
        <w:trPr>
          <w:cantSplit/>
        </w:trPr>
        <w:tc>
          <w:tcPr>
            <w:tcW w:type="dxa" w:w="18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17"/>
                <w:szCs w:val="17"/>
              </w:rPr>
              <w:t xml:space="preserve">R1</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17"/>
                <w:szCs w:val="17"/>
              </w:rPr>
              <w:t xml:space="preserve">escalado</w:t>
            </w:r>
          </w:p>
        </w:tc>
        <w:tc>
          <w:tcPr>
            <w:tcW w:type="dxa" w:w="20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right"/>
            </w:pPr>
            <w:r>
              <w:rPr>
                <w:rFonts w:ascii="Times New Roman" w:cs="Times New Roman" w:eastAsia="Times New Roman" w:hAnsi="Times New Roman"/>
                <w:b w:val="false"/>
                <w:bCs w:val="false"/>
                <w:sz w:val="17"/>
                <w:szCs w:val="17"/>
              </w:rPr>
              <w:t xml:space="preserve">+100,4 % (−30,2 a 164,3)</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right"/>
            </w:pPr>
            <w:r>
              <w:rPr>
                <w:rFonts w:ascii="Times New Roman" w:cs="Times New Roman" w:eastAsia="Times New Roman" w:hAnsi="Times New Roman"/>
                <w:b w:val="false"/>
                <w:bCs w:val="false"/>
                <w:sz w:val="17"/>
                <w:szCs w:val="17"/>
              </w:rPr>
              <w:t xml:space="preserve">−20,9 %</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right"/>
            </w:pPr>
            <w:r>
              <w:rPr>
                <w:rFonts w:ascii="Times New Roman" w:cs="Times New Roman" w:eastAsia="Times New Roman" w:hAnsi="Times New Roman"/>
                <w:b w:val="false"/>
                <w:bCs w:val="false"/>
                <w:sz w:val="17"/>
                <w:szCs w:val="17"/>
              </w:rPr>
              <w:t xml:space="preserve">4.501</w:t>
            </w:r>
          </w:p>
        </w:tc>
        <w:tc>
          <w:tcPr>
            <w:tcW w:type="dxa" w:w="8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right"/>
            </w:pPr>
            <w:r>
              <w:rPr>
                <w:rFonts w:ascii="Times New Roman" w:cs="Times New Roman" w:eastAsia="Times New Roman" w:hAnsi="Times New Roman"/>
                <w:b w:val="false"/>
                <w:bCs w:val="false"/>
                <w:sz w:val="17"/>
                <w:szCs w:val="17"/>
              </w:rPr>
              <w:t xml:space="preserve">808</w:t>
            </w:r>
          </w:p>
        </w:tc>
        <w:tc>
          <w:tcPr>
            <w:tcW w:type="dxa" w:w="9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right"/>
            </w:pPr>
            <w:r>
              <w:rPr>
                <w:rFonts w:ascii="Times New Roman" w:cs="Times New Roman" w:eastAsia="Times New Roman" w:hAnsi="Times New Roman"/>
                <w:b w:val="false"/>
                <w:bCs w:val="false"/>
                <w:sz w:val="17"/>
                <w:szCs w:val="17"/>
              </w:rPr>
              <w:t xml:space="preserve">63 %</w:t>
            </w:r>
          </w:p>
        </w:tc>
      </w:tr>
      <w:tr>
        <w:trPr>
          <w:cantSplit/>
        </w:trPr>
        <w:tc>
          <w:tcPr>
            <w:tcW w:type="dxa" w:w="18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17"/>
                <w:szCs w:val="17"/>
              </w:rPr>
              <w:t xml:space="preserve">R2</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17"/>
                <w:szCs w:val="17"/>
              </w:rPr>
              <w:t xml:space="preserve">escalado</w:t>
            </w:r>
          </w:p>
        </w:tc>
        <w:tc>
          <w:tcPr>
            <w:tcW w:type="dxa" w:w="20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right"/>
            </w:pPr>
            <w:r>
              <w:rPr>
                <w:rFonts w:ascii="Times New Roman" w:cs="Times New Roman" w:eastAsia="Times New Roman" w:hAnsi="Times New Roman"/>
                <w:b w:val="false"/>
                <w:bCs w:val="false"/>
                <w:sz w:val="17"/>
                <w:szCs w:val="17"/>
              </w:rPr>
              <w:t xml:space="preserve">+21,4 % (−28,3 a 57,5)</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right"/>
            </w:pPr>
            <w:r>
              <w:rPr>
                <w:rFonts w:ascii="Times New Roman" w:cs="Times New Roman" w:eastAsia="Times New Roman" w:hAnsi="Times New Roman"/>
                <w:b w:val="false"/>
                <w:bCs w:val="false"/>
                <w:sz w:val="17"/>
                <w:szCs w:val="17"/>
              </w:rPr>
              <w:t xml:space="preserve">−22,8 %</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right"/>
            </w:pPr>
            <w:r>
              <w:rPr>
                <w:rFonts w:ascii="Times New Roman" w:cs="Times New Roman" w:eastAsia="Times New Roman" w:hAnsi="Times New Roman"/>
                <w:b w:val="false"/>
                <w:bCs w:val="false"/>
                <w:sz w:val="17"/>
                <w:szCs w:val="17"/>
              </w:rPr>
              <w:t xml:space="preserve">4.706</w:t>
            </w:r>
          </w:p>
        </w:tc>
        <w:tc>
          <w:tcPr>
            <w:tcW w:type="dxa" w:w="8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right"/>
            </w:pPr>
            <w:r>
              <w:rPr>
                <w:rFonts w:ascii="Times New Roman" w:cs="Times New Roman" w:eastAsia="Times New Roman" w:hAnsi="Times New Roman"/>
                <w:b w:val="false"/>
                <w:bCs w:val="false"/>
                <w:sz w:val="17"/>
                <w:szCs w:val="17"/>
              </w:rPr>
              <w:t xml:space="preserve">827</w:t>
            </w:r>
          </w:p>
        </w:tc>
        <w:tc>
          <w:tcPr>
            <w:tcW w:type="dxa" w:w="9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right"/>
            </w:pPr>
            <w:r>
              <w:rPr>
                <w:rFonts w:ascii="Times New Roman" w:cs="Times New Roman" w:eastAsia="Times New Roman" w:hAnsi="Times New Roman"/>
                <w:b w:val="false"/>
                <w:bCs w:val="false"/>
                <w:sz w:val="17"/>
                <w:szCs w:val="17"/>
              </w:rPr>
              <w:t xml:space="preserve">47 %</w:t>
            </w:r>
          </w:p>
        </w:tc>
      </w:tr>
      <w:tr>
        <w:trPr>
          <w:cantSplit/>
        </w:trPr>
        <w:tc>
          <w:tcPr>
            <w:tcW w:type="dxa" w:w="18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17"/>
                <w:szCs w:val="17"/>
              </w:rPr>
              <w:t xml:space="preserve">R3, κ = 0,002</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17"/>
                <w:szCs w:val="17"/>
              </w:rPr>
              <w:t xml:space="preserve">escalado</w:t>
            </w:r>
          </w:p>
        </w:tc>
        <w:tc>
          <w:tcPr>
            <w:tcW w:type="dxa" w:w="20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right"/>
            </w:pPr>
            <w:r>
              <w:rPr>
                <w:rFonts w:ascii="Times New Roman" w:cs="Times New Roman" w:eastAsia="Times New Roman" w:hAnsi="Times New Roman"/>
                <w:b w:val="false"/>
                <w:bCs w:val="false"/>
                <w:sz w:val="17"/>
                <w:szCs w:val="17"/>
              </w:rPr>
              <w:t xml:space="preserve">+92,2 % (6,8 a 124,0)</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right"/>
            </w:pPr>
            <w:r>
              <w:rPr>
                <w:rFonts w:ascii="Times New Roman" w:cs="Times New Roman" w:eastAsia="Times New Roman" w:hAnsi="Times New Roman"/>
                <w:b w:val="false"/>
                <w:bCs w:val="false"/>
                <w:sz w:val="17"/>
                <w:szCs w:val="17"/>
              </w:rPr>
              <w:t xml:space="preserve">−16,2 %</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right"/>
            </w:pPr>
            <w:r>
              <w:rPr>
                <w:rFonts w:ascii="Times New Roman" w:cs="Times New Roman" w:eastAsia="Times New Roman" w:hAnsi="Times New Roman"/>
                <w:b w:val="false"/>
                <w:bCs w:val="false"/>
                <w:sz w:val="17"/>
                <w:szCs w:val="17"/>
              </w:rPr>
              <w:t xml:space="preserve">2.659</w:t>
            </w:r>
          </w:p>
        </w:tc>
        <w:tc>
          <w:tcPr>
            <w:tcW w:type="dxa" w:w="8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right"/>
            </w:pPr>
            <w:r>
              <w:rPr>
                <w:rFonts w:ascii="Times New Roman" w:cs="Times New Roman" w:eastAsia="Times New Roman" w:hAnsi="Times New Roman"/>
                <w:b w:val="false"/>
                <w:bCs w:val="false"/>
                <w:sz w:val="17"/>
                <w:szCs w:val="17"/>
              </w:rPr>
              <w:t xml:space="preserve">401</w:t>
            </w:r>
          </w:p>
        </w:tc>
        <w:tc>
          <w:tcPr>
            <w:tcW w:type="dxa" w:w="9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right"/>
            </w:pPr>
            <w:r>
              <w:rPr>
                <w:rFonts w:ascii="Times New Roman" w:cs="Times New Roman" w:eastAsia="Times New Roman" w:hAnsi="Times New Roman"/>
                <w:b w:val="false"/>
                <w:bCs w:val="false"/>
                <w:sz w:val="17"/>
                <w:szCs w:val="17"/>
              </w:rPr>
              <w:t xml:space="preserve">52 %</w:t>
            </w:r>
          </w:p>
        </w:tc>
      </w:tr>
      <w:tr>
        <w:trPr>
          <w:cantSplit/>
        </w:trPr>
        <w:tc>
          <w:tcPr>
            <w:tcW w:type="dxa" w:w="18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17"/>
                <w:szCs w:val="17"/>
              </w:rPr>
              <w:t xml:space="preserve">R3, κ = 0,005</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17"/>
                <w:szCs w:val="17"/>
              </w:rPr>
              <w:t xml:space="preserve">escalado</w:t>
            </w:r>
          </w:p>
        </w:tc>
        <w:tc>
          <w:tcPr>
            <w:tcW w:type="dxa" w:w="20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right"/>
            </w:pPr>
            <w:r>
              <w:rPr>
                <w:rFonts w:ascii="Times New Roman" w:cs="Times New Roman" w:eastAsia="Times New Roman" w:hAnsi="Times New Roman"/>
                <w:b w:val="false"/>
                <w:bCs w:val="false"/>
                <w:sz w:val="17"/>
                <w:szCs w:val="17"/>
              </w:rPr>
              <w:t xml:space="preserve">+44,6 % (0,5 a 217,6)</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right"/>
            </w:pPr>
            <w:r>
              <w:rPr>
                <w:rFonts w:ascii="Times New Roman" w:cs="Times New Roman" w:eastAsia="Times New Roman" w:hAnsi="Times New Roman"/>
                <w:b w:val="false"/>
                <w:bCs w:val="false"/>
                <w:sz w:val="17"/>
                <w:szCs w:val="17"/>
              </w:rPr>
              <w:t xml:space="preserve">−13,2 %</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right"/>
            </w:pPr>
            <w:r>
              <w:rPr>
                <w:rFonts w:ascii="Times New Roman" w:cs="Times New Roman" w:eastAsia="Times New Roman" w:hAnsi="Times New Roman"/>
                <w:b w:val="false"/>
                <w:bCs w:val="false"/>
                <w:sz w:val="17"/>
                <w:szCs w:val="17"/>
              </w:rPr>
              <w:t xml:space="preserve">1.434</w:t>
            </w:r>
          </w:p>
        </w:tc>
        <w:tc>
          <w:tcPr>
            <w:tcW w:type="dxa" w:w="8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right"/>
            </w:pPr>
            <w:r>
              <w:rPr>
                <w:rFonts w:ascii="Times New Roman" w:cs="Times New Roman" w:eastAsia="Times New Roman" w:hAnsi="Times New Roman"/>
                <w:b w:val="false"/>
                <w:bCs w:val="false"/>
                <w:sz w:val="17"/>
                <w:szCs w:val="17"/>
              </w:rPr>
              <w:t xml:space="preserve">160</w:t>
            </w:r>
          </w:p>
        </w:tc>
        <w:tc>
          <w:tcPr>
            <w:tcW w:type="dxa" w:w="9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right"/>
            </w:pPr>
            <w:r>
              <w:rPr>
                <w:rFonts w:ascii="Times New Roman" w:cs="Times New Roman" w:eastAsia="Times New Roman" w:hAnsi="Times New Roman"/>
                <w:b w:val="false"/>
                <w:bCs w:val="false"/>
                <w:sz w:val="17"/>
                <w:szCs w:val="17"/>
              </w:rPr>
              <w:t xml:space="preserve">27 %</w:t>
            </w:r>
          </w:p>
        </w:tc>
      </w:tr>
      <w:tr>
        <w:trPr>
          <w:cantSplit/>
        </w:trPr>
        <w:tc>
          <w:tcPr>
            <w:tcW w:type="dxa" w:w="18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17"/>
                <w:szCs w:val="17"/>
              </w:rPr>
              <w:t xml:space="preserve">R3, κ = 0,010</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17"/>
                <w:szCs w:val="17"/>
              </w:rPr>
              <w:t xml:space="preserve">escalado</w:t>
            </w:r>
          </w:p>
        </w:tc>
        <w:tc>
          <w:tcPr>
            <w:tcW w:type="dxa" w:w="20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right"/>
            </w:pPr>
            <w:r>
              <w:rPr>
                <w:rFonts w:ascii="Times New Roman" w:cs="Times New Roman" w:eastAsia="Times New Roman" w:hAnsi="Times New Roman"/>
                <w:b w:val="false"/>
                <w:bCs w:val="false"/>
                <w:sz w:val="17"/>
                <w:szCs w:val="17"/>
              </w:rPr>
              <w:t xml:space="preserve">+30,6 % (3,7 a 185,5)</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right"/>
            </w:pPr>
            <w:r>
              <w:rPr>
                <w:rFonts w:ascii="Times New Roman" w:cs="Times New Roman" w:eastAsia="Times New Roman" w:hAnsi="Times New Roman"/>
                <w:b w:val="false"/>
                <w:bCs w:val="false"/>
                <w:sz w:val="17"/>
                <w:szCs w:val="17"/>
              </w:rPr>
              <w:t xml:space="preserve">−7,0 %</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right"/>
            </w:pPr>
            <w:r>
              <w:rPr>
                <w:rFonts w:ascii="Times New Roman" w:cs="Times New Roman" w:eastAsia="Times New Roman" w:hAnsi="Times New Roman"/>
                <w:b w:val="false"/>
                <w:bCs w:val="false"/>
                <w:sz w:val="17"/>
                <w:szCs w:val="17"/>
              </w:rPr>
              <w:t xml:space="preserve">461</w:t>
            </w:r>
          </w:p>
        </w:tc>
        <w:tc>
          <w:tcPr>
            <w:tcW w:type="dxa" w:w="8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right"/>
            </w:pPr>
            <w:r>
              <w:rPr>
                <w:rFonts w:ascii="Times New Roman" w:cs="Times New Roman" w:eastAsia="Times New Roman" w:hAnsi="Times New Roman"/>
                <w:b w:val="false"/>
                <w:bCs w:val="false"/>
                <w:sz w:val="17"/>
                <w:szCs w:val="17"/>
              </w:rPr>
              <w:t xml:space="preserve">67</w:t>
            </w:r>
          </w:p>
        </w:tc>
        <w:tc>
          <w:tcPr>
            <w:tcW w:type="dxa" w:w="9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right"/>
            </w:pPr>
            <w:r>
              <w:rPr>
                <w:rFonts w:ascii="Times New Roman" w:cs="Times New Roman" w:eastAsia="Times New Roman" w:hAnsi="Times New Roman"/>
                <w:b w:val="false"/>
                <w:bCs w:val="false"/>
                <w:sz w:val="17"/>
                <w:szCs w:val="17"/>
              </w:rPr>
              <w:t xml:space="preserve">7 %</w:t>
            </w:r>
          </w:p>
        </w:tc>
      </w:tr>
      <w:tr>
        <w:trPr>
          <w:cantSplit/>
        </w:trPr>
        <w:tc>
          <w:tcPr>
            <w:tcW w:type="dxa" w:w="18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i/>
                <w:iCs/>
                <w:sz w:val="17"/>
                <w:szCs w:val="17"/>
              </w:rPr>
              <w:t xml:space="preserve">Comprar y mantener</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17"/>
                <w:szCs w:val="17"/>
              </w:rPr>
              <w:t xml:space="preserve">—</w:t>
            </w:r>
          </w:p>
        </w:tc>
        <w:tc>
          <w:tcPr>
            <w:tcW w:type="dxa" w:w="20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right"/>
            </w:pPr>
            <w:r>
              <w:rPr>
                <w:rFonts w:ascii="Times New Roman" w:cs="Times New Roman" w:eastAsia="Times New Roman" w:hAnsi="Times New Roman"/>
                <w:b w:val="false"/>
                <w:bCs w:val="false"/>
                <w:sz w:val="17"/>
                <w:szCs w:val="17"/>
              </w:rPr>
              <w:t xml:space="preserve">+348,9 %</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right"/>
            </w:pPr>
            <w:r>
              <w:rPr>
                <w:rFonts w:ascii="Times New Roman" w:cs="Times New Roman" w:eastAsia="Times New Roman" w:hAnsi="Times New Roman"/>
                <w:b w:val="false"/>
                <w:bCs w:val="false"/>
                <w:sz w:val="17"/>
                <w:szCs w:val="17"/>
              </w:rPr>
              <w:t xml:space="preserve">−19,9 %</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right"/>
            </w:pPr>
            <w:r>
              <w:rPr>
                <w:rFonts w:ascii="Times New Roman" w:cs="Times New Roman" w:eastAsia="Times New Roman" w:hAnsi="Times New Roman"/>
                <w:b w:val="false"/>
                <w:bCs w:val="false"/>
                <w:sz w:val="17"/>
                <w:szCs w:val="17"/>
              </w:rPr>
              <w:t xml:space="preserve">10</w:t>
            </w:r>
          </w:p>
        </w:tc>
        <w:tc>
          <w:tcPr>
            <w:tcW w:type="dxa" w:w="8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right"/>
            </w:pPr>
            <w:r>
              <w:rPr>
                <w:rFonts w:ascii="Times New Roman" w:cs="Times New Roman" w:eastAsia="Times New Roman" w:hAnsi="Times New Roman"/>
                <w:b w:val="false"/>
                <w:bCs w:val="false"/>
                <w:sz w:val="17"/>
                <w:szCs w:val="17"/>
              </w:rPr>
              <w:t xml:space="preserve">1</w:t>
            </w:r>
          </w:p>
        </w:tc>
        <w:tc>
          <w:tcPr>
            <w:tcW w:type="dxa" w:w="9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right"/>
            </w:pPr>
            <w:r>
              <w:rPr>
                <w:rFonts w:ascii="Times New Roman" w:cs="Times New Roman" w:eastAsia="Times New Roman" w:hAnsi="Times New Roman"/>
                <w:b w:val="false"/>
                <w:bCs w:val="false"/>
                <w:sz w:val="17"/>
                <w:szCs w:val="17"/>
              </w:rPr>
              <w:t xml:space="preserve">100 %</w:t>
            </w:r>
          </w:p>
        </w:tc>
      </w:tr>
      <w:tr>
        <w:trPr>
          <w:cantSplit/>
        </w:trPr>
        <w:tc>
          <w:tcPr>
            <w:tcW w:type="dxa" w:w="18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i/>
                <w:iCs/>
                <w:sz w:val="17"/>
                <w:szCs w:val="17"/>
              </w:rPr>
              <w:t xml:space="preserve">Constante 50 %</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17"/>
                <w:szCs w:val="17"/>
              </w:rPr>
              <w:t xml:space="preserve">—</w:t>
            </w:r>
          </w:p>
        </w:tc>
        <w:tc>
          <w:tcPr>
            <w:tcW w:type="dxa" w:w="20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right"/>
            </w:pPr>
            <w:r>
              <w:rPr>
                <w:rFonts w:ascii="Times New Roman" w:cs="Times New Roman" w:eastAsia="Times New Roman" w:hAnsi="Times New Roman"/>
                <w:b w:val="false"/>
                <w:bCs w:val="false"/>
                <w:sz w:val="17"/>
                <w:szCs w:val="17"/>
              </w:rPr>
              <w:t xml:space="preserve">+116,1 %</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right"/>
            </w:pPr>
            <w:r>
              <w:rPr>
                <w:rFonts w:ascii="Times New Roman" w:cs="Times New Roman" w:eastAsia="Times New Roman" w:hAnsi="Times New Roman"/>
                <w:b w:val="false"/>
                <w:bCs w:val="false"/>
                <w:sz w:val="17"/>
                <w:szCs w:val="17"/>
              </w:rPr>
              <w:t xml:space="preserve">−10,4 %</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right"/>
            </w:pPr>
            <w:r>
              <w:rPr>
                <w:rFonts w:ascii="Times New Roman" w:cs="Times New Roman" w:eastAsia="Times New Roman" w:hAnsi="Times New Roman"/>
                <w:b w:val="false"/>
                <w:bCs w:val="false"/>
                <w:sz w:val="17"/>
                <w:szCs w:val="17"/>
              </w:rPr>
              <w:t xml:space="preserve">69</w:t>
            </w:r>
          </w:p>
        </w:tc>
        <w:tc>
          <w:tcPr>
            <w:tcW w:type="dxa" w:w="8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right"/>
            </w:pPr>
            <w:r>
              <w:rPr>
                <w:rFonts w:ascii="Times New Roman" w:cs="Times New Roman" w:eastAsia="Times New Roman" w:hAnsi="Times New Roman"/>
                <w:b w:val="false"/>
                <w:bCs w:val="false"/>
                <w:sz w:val="17"/>
                <w:szCs w:val="17"/>
              </w:rPr>
              <w:t xml:space="preserve">1</w:t>
            </w:r>
          </w:p>
        </w:tc>
        <w:tc>
          <w:tcPr>
            <w:tcW w:type="dxa" w:w="9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right"/>
            </w:pPr>
            <w:r>
              <w:rPr>
                <w:rFonts w:ascii="Times New Roman" w:cs="Times New Roman" w:eastAsia="Times New Roman" w:hAnsi="Times New Roman"/>
                <w:b w:val="false"/>
                <w:bCs w:val="false"/>
                <w:sz w:val="17"/>
                <w:szCs w:val="17"/>
              </w:rPr>
              <w:t xml:space="preserve">50 %</w:t>
            </w:r>
          </w:p>
        </w:tc>
      </w:tr>
      <w:tr>
        <w:trPr>
          <w:cantSplit/>
        </w:trPr>
        <w:tc>
          <w:tcPr>
            <w:tcW w:type="dxa" w:w="18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i/>
                <w:iCs/>
                <w:sz w:val="17"/>
                <w:szCs w:val="17"/>
              </w:rPr>
              <w:t xml:space="preserve">Aleatorio (mediana de 100)</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17"/>
                <w:szCs w:val="17"/>
              </w:rPr>
              <w:t xml:space="preserve">—</w:t>
            </w:r>
          </w:p>
        </w:tc>
        <w:tc>
          <w:tcPr>
            <w:tcW w:type="dxa" w:w="20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right"/>
            </w:pPr>
            <w:r>
              <w:rPr>
                <w:rFonts w:ascii="Times New Roman" w:cs="Times New Roman" w:eastAsia="Times New Roman" w:hAnsi="Times New Roman"/>
                <w:b w:val="false"/>
                <w:bCs w:val="false"/>
                <w:sz w:val="17"/>
                <w:szCs w:val="17"/>
              </w:rPr>
              <w:t xml:space="preserve">−72,5 %</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right"/>
            </w:pPr>
            <w:r>
              <w:rPr>
                <w:rFonts w:ascii="Times New Roman" w:cs="Times New Roman" w:eastAsia="Times New Roman" w:hAnsi="Times New Roman"/>
                <w:b w:val="false"/>
                <w:bCs w:val="false"/>
                <w:sz w:val="17"/>
                <w:szCs w:val="17"/>
              </w:rPr>
              <w:t xml:space="preserve">−77,2 %</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right"/>
            </w:pPr>
            <w:r>
              <w:rPr>
                <w:rFonts w:ascii="Times New Roman" w:cs="Times New Roman" w:eastAsia="Times New Roman" w:hAnsi="Times New Roman"/>
                <w:b w:val="false"/>
                <w:bCs w:val="false"/>
                <w:sz w:val="17"/>
                <w:szCs w:val="17"/>
              </w:rPr>
              <w:t xml:space="preserve">9.909</w:t>
            </w:r>
          </w:p>
        </w:tc>
        <w:tc>
          <w:tcPr>
            <w:tcW w:type="dxa" w:w="8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right"/>
            </w:pPr>
            <w:r>
              <w:rPr>
                <w:rFonts w:ascii="Times New Roman" w:cs="Times New Roman" w:eastAsia="Times New Roman" w:hAnsi="Times New Roman"/>
                <w:b w:val="false"/>
                <w:bCs w:val="false"/>
                <w:sz w:val="17"/>
                <w:szCs w:val="17"/>
              </w:rPr>
              <w:t xml:space="preserve">3.106</w:t>
            </w:r>
          </w:p>
        </w:tc>
        <w:tc>
          <w:tcPr>
            <w:tcW w:type="dxa" w:w="9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right"/>
            </w:pPr>
            <w:r>
              <w:rPr>
                <w:rFonts w:ascii="Times New Roman" w:cs="Times New Roman" w:eastAsia="Times New Roman" w:hAnsi="Times New Roman"/>
                <w:b w:val="false"/>
                <w:bCs w:val="false"/>
                <w:sz w:val="17"/>
                <w:szCs w:val="17"/>
              </w:rPr>
              <w:t xml:space="preserve">50 %</w:t>
            </w:r>
          </w:p>
        </w:tc>
      </w:tr>
    </w:tbl>
    <w:p>
      <w:pPr>
        <w:spacing w:after="120"/>
      </w:pPr>
    </w:p>
    <w:p>
      <w:pPr>
        <w:keepNext/>
        <w:spacing w:after="40" w:before="160"/>
      </w:pPr>
      <w:r>
        <w:rPr>
          <w:rFonts w:ascii="Times New Roman" w:cs="Times New Roman" w:eastAsia="Times New Roman" w:hAnsi="Times New Roman"/>
          <w:b/>
          <w:bCs/>
        </w:rPr>
        <w:t xml:space="preserve">Figura 4</w:t>
      </w:r>
    </w:p>
    <w:p>
      <w:pPr>
        <w:keepNext/>
        <w:spacing w:after="100"/>
      </w:pPr>
      <w:r>
        <w:rPr>
          <w:rFonts w:ascii="Times New Roman" w:cs="Times New Roman" w:eastAsia="Times New Roman" w:hAnsi="Times New Roman"/>
          <w:i/>
          <w:iCs/>
        </w:rPr>
        <w:t xml:space="preserve">Versiones de la recompensa en validación</w:t>
      </w:r>
    </w:p>
    <w:p>
      <w:pPr>
        <w:keepNext/>
        <w:spacing w:after="60"/>
        <w:jc w:val="center"/>
      </w:pPr>
      <w:r>
        <w:drawing>
          <wp:inline distT="0" distB="0" distL="0" distR="0">
            <wp:extent cx="5524500" cy="2628900"/>
            <wp:effectExtent t="0" r="0" b="0" l="0"/>
            <wp:docPr id="4" name="figura4" descr="Versiones de la recompensa en validación" title="Versiones de la recompensa en valid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2628900"/>
                    </a:xfrm>
                    <a:prstGeom prst="rect">
                      <a:avLst/>
                    </a:prstGeom>
                  </pic:spPr>
                </pic:pic>
              </a:graphicData>
            </a:graphic>
          </wp:inline>
        </w:drawing>
      </w:r>
    </w:p>
    <w:p>
      <w:pPr>
        <w:spacing w:after="180"/>
        <w:jc w:val="both"/>
      </w:pPr>
      <w:r>
        <w:rPr>
          <w:rFonts w:ascii="Times New Roman" w:cs="Times New Roman" w:eastAsia="Times New Roman" w:hAnsi="Times New Roman"/>
          <w:i/>
          <w:iCs/>
          <w:sz w:val="19"/>
          <w:szCs w:val="19"/>
        </w:rPr>
        <w:t xml:space="preserve">Nota.</w:t>
      </w:r>
      <w:r>
        <w:rPr>
          <w:rFonts w:ascii="Times New Roman" w:cs="Times New Roman" w:eastAsia="Times New Roman" w:hAnsi="Times New Roman"/>
          <w:sz w:val="19"/>
          <w:szCs w:val="19"/>
        </w:rPr>
        <w:t xml:space="preserve"> Puntos: las 5 semillas; raya negra: mediana. En R3 la etiqueta indica el valor de κ. Líneas: comprar y mantener (naranja) y constante 50 % (verde). El panel de cambios usa escala logarítmica.</w:t>
      </w:r>
    </w:p>
    <w:p>
      <w:pPr>
        <w:spacing w:after="140" w:line="300"/>
        <w:jc w:val="both"/>
      </w:pPr>
      <w:r>
        <w:rPr>
          <w:rFonts w:ascii="Times New Roman" w:cs="Times New Roman" w:eastAsia="Times New Roman" w:hAnsi="Times New Roman"/>
        </w:rPr>
        <w:t xml:space="preserve">La comparación muestra los comportamientos que puede inducir una recompensa en este problema:</w:t>
      </w:r>
    </w:p>
    <w:p>
      <w:pPr>
        <w:pStyle w:val="ListParagraph"/>
        <w:numPr>
          <w:ilvl w:val="0"/>
          <w:numId w:val="4"/>
        </w:numPr>
        <w:spacing w:after="80" w:line="290"/>
        <w:jc w:val="both"/>
      </w:pPr>
      <w:r>
        <w:rPr>
          <w:rFonts w:ascii="Times New Roman" w:cs="Times New Roman" w:eastAsia="Times New Roman" w:hAnsi="Times New Roman"/>
          <w:b/>
          <w:bCs/>
        </w:rPr>
        <w:t xml:space="preserve">Fuera del mercado demasiado tiempo:</w:t>
      </w:r>
      <w:r>
        <w:rPr>
          <w:rFonts w:ascii="Times New Roman" w:cs="Times New Roman" w:eastAsia="Times New Roman" w:hAnsi="Times New Roman"/>
        </w:rPr>
        <w:t xml:space="preserve"> R3 con κ = 0,010 (7 % de exposición) y R1 sin escalar con la semilla 456 (0 %).</w:t>
      </w:r>
    </w:p>
    <w:p>
      <w:pPr>
        <w:pStyle w:val="ListParagraph"/>
        <w:numPr>
          <w:ilvl w:val="0"/>
          <w:numId w:val="4"/>
        </w:numPr>
        <w:spacing w:after="80" w:line="290"/>
        <w:jc w:val="both"/>
      </w:pPr>
      <w:r>
        <w:rPr>
          <w:rFonts w:ascii="Times New Roman" w:cs="Times New Roman" w:eastAsia="Times New Roman" w:hAnsi="Times New Roman"/>
          <w:b/>
          <w:bCs/>
        </w:rPr>
        <w:t xml:space="preserve">Operar en exceso:</w:t>
      </w:r>
      <w:r>
        <w:rPr>
          <w:rFonts w:ascii="Times New Roman" w:cs="Times New Roman" w:eastAsia="Times New Roman" w:hAnsi="Times New Roman"/>
        </w:rPr>
        <w:t xml:space="preserve"> R1 y R2 con estado escalado, con más de 800 cambios y costos cercanos al 45 % del capital.</w:t>
      </w:r>
    </w:p>
    <w:p>
      <w:pPr>
        <w:pStyle w:val="ListParagraph"/>
        <w:numPr>
          <w:ilvl w:val="0"/>
          <w:numId w:val="4"/>
        </w:numPr>
        <w:spacing w:after="80" w:line="290"/>
        <w:jc w:val="both"/>
      </w:pPr>
      <w:r>
        <w:rPr>
          <w:rFonts w:ascii="Times New Roman" w:cs="Times New Roman" w:eastAsia="Times New Roman" w:hAnsi="Times New Roman"/>
          <w:b/>
          <w:bCs/>
        </w:rPr>
        <w:t xml:space="preserve">Buscar retornos de muy corto plazo:</w:t>
      </w:r>
      <w:r>
        <w:rPr>
          <w:rFonts w:ascii="Times New Roman" w:cs="Times New Roman" w:eastAsia="Times New Roman" w:hAnsi="Times New Roman"/>
        </w:rPr>
        <w:t xml:space="preserve"> R1 y R2 escalados reaccionan hora a hora a indicadores que no anticipan la dirección del precio.</w:t>
      </w:r>
    </w:p>
    <w:p>
      <w:pPr>
        <w:pStyle w:val="ListParagraph"/>
        <w:numPr>
          <w:ilvl w:val="0"/>
          <w:numId w:val="4"/>
        </w:numPr>
        <w:spacing w:after="80" w:line="290"/>
        <w:jc w:val="both"/>
      </w:pPr>
      <w:r>
        <w:rPr>
          <w:rFonts w:ascii="Times New Roman" w:cs="Times New Roman" w:eastAsia="Times New Roman" w:hAnsi="Times New Roman"/>
          <w:b/>
          <w:bCs/>
        </w:rPr>
        <w:t xml:space="preserve">Asumir demasiado riesgo:</w:t>
      </w:r>
      <w:r>
        <w:rPr>
          <w:rFonts w:ascii="Times New Roman" w:cs="Times New Roman" w:eastAsia="Times New Roman" w:hAnsi="Times New Roman"/>
        </w:rPr>
        <w:t xml:space="preserve"> R1 sin escalar con las semillas 789 y 2026, casi siempre al 100 %, con el mismo drawdown que comprar y mantener.</w:t>
      </w:r>
    </w:p>
    <w:p>
      <w:pPr>
        <w:pStyle w:val="ListParagraph"/>
        <w:numPr>
          <w:ilvl w:val="0"/>
          <w:numId w:val="4"/>
        </w:numPr>
        <w:spacing w:after="80" w:line="290"/>
        <w:jc w:val="both"/>
      </w:pPr>
      <w:r>
        <w:rPr>
          <w:rFonts w:ascii="Times New Roman" w:cs="Times New Roman" w:eastAsia="Times New Roman" w:hAnsi="Times New Roman"/>
          <w:b/>
          <w:bCs/>
        </w:rPr>
        <w:t xml:space="preserve">Explotar la recompensa:</w:t>
      </w:r>
      <w:r>
        <w:rPr>
          <w:rFonts w:ascii="Times New Roman" w:cs="Times New Roman" w:eastAsia="Times New Roman" w:hAnsi="Times New Roman"/>
        </w:rPr>
        <w:t xml:space="preserve"> R3 encuentra que quedarse quieto en efectivo es la forma más barata de cobrarla.</w:t>
      </w:r>
    </w:p>
    <w:p>
      <w:pPr>
        <w:spacing w:after="140" w:line="300"/>
        <w:jc w:val="both"/>
      </w:pPr>
      <w:r>
        <w:rPr>
          <w:rFonts w:ascii="Times New Roman" w:cs="Times New Roman" w:eastAsia="Times New Roman" w:hAnsi="Times New Roman"/>
        </w:rPr>
        <w:t xml:space="preserve">Ninguna versión superó con claridad a mantener siempre el 50 %. Las versiones que usan el estado pierden con los costos; la que no lo usa equivale a una exposición fija elegida al azar por la semilla.</w:t>
      </w:r>
    </w:p>
    <w:p>
      <w:pPr>
        <w:pStyle w:val="Heading1"/>
        <w:keepNext/>
      </w:pPr>
      <w:r>
        <w:rPr>
          <w:rFonts w:ascii="Times New Roman" w:cs="Times New Roman" w:eastAsia="Times New Roman" w:hAnsi="Times New Roman"/>
        </w:rPr>
        <w:t xml:space="preserve">8. Algoritmo: Deep Q-Network</w:t>
      </w:r>
    </w:p>
    <w:p>
      <w:pPr>
        <w:pStyle w:val="Heading2"/>
        <w:keepNext/>
      </w:pPr>
      <w:r>
        <w:rPr>
          <w:rFonts w:ascii="Times New Roman" w:cs="Times New Roman" w:eastAsia="Times New Roman" w:hAnsi="Times New Roman"/>
        </w:rPr>
        <w:t xml:space="preserve">8.1. Por qué DQN</w:t>
      </w:r>
    </w:p>
    <w:p>
      <w:pPr>
        <w:spacing w:after="140" w:line="300"/>
        <w:jc w:val="both"/>
      </w:pPr>
      <w:r>
        <w:rPr>
          <w:rFonts w:ascii="Times New Roman" w:cs="Times New Roman" w:eastAsia="Times New Roman" w:hAnsi="Times New Roman"/>
        </w:rPr>
        <w:t xml:space="preserve">El problema tiene un estado continuo y pocas acciones discretas. DQN aproxima la función de valor de acción Q(s, a) con una red neuronal y la estabiliza con dos mecanismos: una memoria de repetición, de la que se toman muestras al azar para romper la correlación entre experiencias seguidas, y una red objetivo que se copia cada cierto número de pasos (Mnih et al., 2015). Se usó la implementación de Stable-Baselines3 (Raffin et al., 2021), en lugar del DQN propio de la primera versión (Anexo A), para reducir el riesgo de errores de implementación. En cada actualización la red se acerca al objetivo</w:t>
      </w:r>
    </w:p>
    <w:p>
      <w:pPr>
        <w:spacing w:after="160" w:before="80"/>
        <w:jc w:val="center"/>
      </w:pPr>
      <w:r>
        <w:rPr>
          <w:rFonts w:ascii="Times New Roman" w:cs="Times New Roman" w:eastAsia="Times New Roman" w:hAnsi="Times New Roman"/>
          <w:sz w:val="24"/>
          <w:szCs w:val="24"/>
        </w:rPr>
        <w:t xml:space="preserve">y = r + γ · max</w:t>
      </w:r>
      <w:r>
        <w:rPr>
          <w:rFonts w:ascii="Times New Roman" w:cs="Times New Roman" w:eastAsia="Times New Roman" w:hAnsi="Times New Roman"/>
          <w:sz w:val="24"/>
          <w:szCs w:val="24"/>
          <w:vertAlign w:val="subscript"/>
        </w:rPr>
        <w:t xml:space="preserve">a'</w:t>
      </w:r>
      <w:r>
        <w:rPr>
          <w:rFonts w:ascii="Times New Roman" w:cs="Times New Roman" w:eastAsia="Times New Roman" w:hAnsi="Times New Roman"/>
          <w:sz w:val="24"/>
          <w:szCs w:val="24"/>
        </w:rPr>
        <w:t xml:space="preserve"> Q</w:t>
      </w:r>
      <w:r>
        <w:rPr>
          <w:rFonts w:ascii="Times New Roman" w:cs="Times New Roman" w:eastAsia="Times New Roman" w:hAnsi="Times New Roman"/>
          <w:sz w:val="24"/>
          <w:szCs w:val="24"/>
          <w:vertAlign w:val="subscript"/>
        </w:rPr>
        <w:t xml:space="preserve">objetivo</w:t>
      </w:r>
      <w:r>
        <w:rPr>
          <w:rFonts w:ascii="Times New Roman" w:cs="Times New Roman" w:eastAsia="Times New Roman" w:hAnsi="Times New Roman"/>
          <w:sz w:val="24"/>
          <w:szCs w:val="24"/>
        </w:rPr>
        <w:t xml:space="preserve">(s', a') · (1 − terminado)</w:t>
      </w:r>
    </w:p>
    <w:p>
      <w:pPr>
        <w:pStyle w:val="Heading2"/>
        <w:keepNext/>
      </w:pPr>
      <w:r>
        <w:rPr>
          <w:rFonts w:ascii="Times New Roman" w:cs="Times New Roman" w:eastAsia="Times New Roman" w:hAnsi="Times New Roman"/>
        </w:rPr>
        <w:t xml:space="preserve">8.2. Arquitectura</w:t>
      </w:r>
    </w:p>
    <w:p>
      <w:pPr>
        <w:spacing w:after="140" w:line="300"/>
        <w:jc w:val="both"/>
      </w:pPr>
      <w:r>
        <w:rPr>
          <w:rFonts w:ascii="Times New Roman" w:cs="Times New Roman" w:eastAsia="Times New Roman" w:hAnsi="Times New Roman"/>
        </w:rPr>
        <w:t xml:space="preserve">Red totalmente conectada 4 → 64 → 64 → 3: cuatro entradas (los tres indicadores y la posición), dos capas ocultas de 64 neuronas con ReLU y una salida lineal con un valor Q por acción. Son 4.675 parámetros. El estado es pequeño y dos capas de 64 bastan para representar funciones no lineales de cuatro variables.</w:t>
      </w:r>
    </w:p>
    <w:p>
      <w:pPr>
        <w:pStyle w:val="Heading2"/>
        <w:keepNext/>
      </w:pPr>
      <w:r>
        <w:rPr>
          <w:rFonts w:ascii="Times New Roman" w:cs="Times New Roman" w:eastAsia="Times New Roman" w:hAnsi="Times New Roman"/>
        </w:rPr>
        <w:t xml:space="preserve">8.3. Hiperparámetros</w:t>
      </w:r>
    </w:p>
    <w:p>
      <w:pPr>
        <w:keepNext/>
        <w:spacing w:after="40" w:before="160"/>
      </w:pPr>
      <w:r>
        <w:rPr>
          <w:rFonts w:ascii="Times New Roman" w:cs="Times New Roman" w:eastAsia="Times New Roman" w:hAnsi="Times New Roman"/>
          <w:b/>
          <w:bCs/>
        </w:rPr>
        <w:t xml:space="preserve">Tabla 10</w:t>
      </w:r>
    </w:p>
    <w:p>
      <w:pPr>
        <w:keepNext/>
        <w:spacing w:after="100"/>
      </w:pPr>
      <w:r>
        <w:rPr>
          <w:rFonts w:ascii="Times New Roman" w:cs="Times New Roman" w:eastAsia="Times New Roman" w:hAnsi="Times New Roman"/>
          <w:i/>
          <w:iCs/>
        </w:rPr>
        <w:t xml:space="preserve">Configuración del agente (igual para todas las versiones)</w:t>
      </w:r>
    </w:p>
    <w:tbl>
      <w:tblPr>
        <w:tblW w:type="dxa" w:w="8838"/>
        <w:tblBorders>
          <w:top w:val="single" w:color="auto" w:sz="4"/>
          <w:left w:val="single" w:color="auto" w:sz="4"/>
          <w:bottom w:val="single" w:color="auto" w:sz="4"/>
          <w:right w:val="single" w:color="auto" w:sz="4"/>
          <w:insideH w:val="single" w:color="auto" w:sz="4"/>
          <w:insideV w:val="single" w:color="auto" w:sz="4"/>
        </w:tblBorders>
      </w:tblPr>
      <w:tblGrid>
        <w:gridCol w:w="2338"/>
        <w:gridCol w:w="2900"/>
        <w:gridCol w:w="3600"/>
      </w:tblGrid>
      <w:tr>
        <w:trPr>
          <w:tblHeader/>
        </w:trPr>
        <w:tc>
          <w:tcPr>
            <w:tcW w:type="dxa" w:w="2338"/>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18"/>
                <w:szCs w:val="18"/>
              </w:rPr>
              <w:t xml:space="preserve">Elemento</w:t>
            </w:r>
          </w:p>
        </w:tc>
        <w:tc>
          <w:tcPr>
            <w:tcW w:type="dxa" w:w="2900"/>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18"/>
                <w:szCs w:val="18"/>
              </w:rPr>
              <w:t xml:space="preserve">Valor</w:t>
            </w:r>
          </w:p>
        </w:tc>
        <w:tc>
          <w:tcPr>
            <w:tcW w:type="dxa" w:w="3600"/>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18"/>
                <w:szCs w:val="18"/>
              </w:rPr>
              <w:t xml:space="preserve">Razón</w:t>
            </w:r>
          </w:p>
        </w:tc>
      </w:tr>
      <w:tr>
        <w:trPr>
          <w:cantSplit/>
        </w:trPr>
        <w:tc>
          <w:tcPr>
            <w:tcW w:type="dxa" w:w="23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18"/>
                <w:szCs w:val="18"/>
              </w:rPr>
              <w:t xml:space="preserve">Algoritmo</w:t>
            </w:r>
          </w:p>
        </w:tc>
        <w:tc>
          <w:tcPr>
            <w:tcW w:type="dxa" w:w="2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18"/>
                <w:szCs w:val="18"/>
              </w:rPr>
              <w:t xml:space="preserve">DQN (Stable-Baselines3 2.9.0)</w:t>
            </w:r>
          </w:p>
        </w:tc>
        <w:tc>
          <w:tcPr>
            <w:tcW w:type="dxa" w:w="3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18"/>
                <w:szCs w:val="18"/>
              </w:rPr>
              <w:t xml:space="preserve">Acciones discretas; implementación probada.</w:t>
            </w:r>
          </w:p>
        </w:tc>
      </w:tr>
      <w:tr>
        <w:trPr>
          <w:cantSplit/>
        </w:trPr>
        <w:tc>
          <w:tcPr>
            <w:tcW w:type="dxa" w:w="23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18"/>
                <w:szCs w:val="18"/>
              </w:rPr>
              <w:t xml:space="preserve">Arquitectura</w:t>
            </w:r>
          </w:p>
        </w:tc>
        <w:tc>
          <w:tcPr>
            <w:tcW w:type="dxa" w:w="2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18"/>
                <w:szCs w:val="18"/>
              </w:rPr>
              <w:t xml:space="preserve">4-64-64-3, ReLU</w:t>
            </w:r>
          </w:p>
        </w:tc>
        <w:tc>
          <w:tcPr>
            <w:tcW w:type="dxa" w:w="3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18"/>
                <w:szCs w:val="18"/>
              </w:rPr>
              <w:t xml:space="preserve">Estado pequeño; red compacta que entrena rápido en CPU.</w:t>
            </w:r>
          </w:p>
        </w:tc>
      </w:tr>
      <w:tr>
        <w:trPr>
          <w:cantSplit/>
        </w:trPr>
        <w:tc>
          <w:tcPr>
            <w:tcW w:type="dxa" w:w="23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18"/>
                <w:szCs w:val="18"/>
              </w:rPr>
              <w:t xml:space="preserve">Optimizador y pérdida</w:t>
            </w:r>
          </w:p>
        </w:tc>
        <w:tc>
          <w:tcPr>
            <w:tcW w:type="dxa" w:w="2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18"/>
                <w:szCs w:val="18"/>
              </w:rPr>
              <w:t xml:space="preserve">Adam; pérdida de Huber (por defecto)</w:t>
            </w:r>
          </w:p>
        </w:tc>
        <w:tc>
          <w:tcPr>
            <w:tcW w:type="dxa" w:w="3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18"/>
                <w:szCs w:val="18"/>
              </w:rPr>
              <w:t xml:space="preserve">Valores por defecto de la librería.</w:t>
            </w:r>
          </w:p>
        </w:tc>
      </w:tr>
      <w:tr>
        <w:trPr>
          <w:cantSplit/>
        </w:trPr>
        <w:tc>
          <w:tcPr>
            <w:tcW w:type="dxa" w:w="23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18"/>
                <w:szCs w:val="18"/>
              </w:rPr>
              <w:t xml:space="preserve">Learning rate</w:t>
            </w:r>
          </w:p>
        </w:tc>
        <w:tc>
          <w:tcPr>
            <w:tcW w:type="dxa" w:w="2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18"/>
                <w:szCs w:val="18"/>
              </w:rPr>
              <w:t xml:space="preserve">0,0001</w:t>
            </w:r>
          </w:p>
        </w:tc>
        <w:tc>
          <w:tcPr>
            <w:tcW w:type="dxa" w:w="3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18"/>
                <w:szCs w:val="18"/>
              </w:rPr>
              <w:t xml:space="preserve">Valor conservador; las recompensas son números muy pequeños.</w:t>
            </w:r>
          </w:p>
        </w:tc>
      </w:tr>
      <w:tr>
        <w:trPr>
          <w:cantSplit/>
        </w:trPr>
        <w:tc>
          <w:tcPr>
            <w:tcW w:type="dxa" w:w="23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18"/>
                <w:szCs w:val="18"/>
              </w:rPr>
              <w:t xml:space="preserve">Batch size</w:t>
            </w:r>
          </w:p>
        </w:tc>
        <w:tc>
          <w:tcPr>
            <w:tcW w:type="dxa" w:w="2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18"/>
                <w:szCs w:val="18"/>
              </w:rPr>
              <w:t xml:space="preserve">64</w:t>
            </w:r>
          </w:p>
        </w:tc>
        <w:tc>
          <w:tcPr>
            <w:tcW w:type="dxa" w:w="3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18"/>
                <w:szCs w:val="18"/>
              </w:rPr>
              <w:t xml:space="preserve">Lote estándar; suficiente para promediar el ruido de cada muestra.</w:t>
            </w:r>
          </w:p>
        </w:tc>
      </w:tr>
      <w:tr>
        <w:trPr>
          <w:cantSplit/>
        </w:trPr>
        <w:tc>
          <w:tcPr>
            <w:tcW w:type="dxa" w:w="23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18"/>
                <w:szCs w:val="18"/>
              </w:rPr>
              <w:t xml:space="preserve">Factor de descuento γ</w:t>
            </w:r>
          </w:p>
        </w:tc>
        <w:tc>
          <w:tcPr>
            <w:tcW w:type="dxa" w:w="2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18"/>
                <w:szCs w:val="18"/>
              </w:rPr>
              <w:t xml:space="preserve">0,99</w:t>
            </w:r>
          </w:p>
        </w:tc>
        <w:tc>
          <w:tcPr>
            <w:tcW w:type="dxa" w:w="3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18"/>
                <w:szCs w:val="18"/>
              </w:rPr>
              <w:t xml:space="preserve">Horizonte efectivo de unas 100 horas (1 / (1 − γ)): una decisión afecta los costos y la posición de los días siguientes.</w:t>
            </w:r>
          </w:p>
        </w:tc>
      </w:tr>
      <w:tr>
        <w:trPr>
          <w:cantSplit/>
        </w:trPr>
        <w:tc>
          <w:tcPr>
            <w:tcW w:type="dxa" w:w="23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18"/>
                <w:szCs w:val="18"/>
              </w:rPr>
              <w:t xml:space="preserve">Pasos de entrenamiento</w:t>
            </w:r>
          </w:p>
        </w:tc>
        <w:tc>
          <w:tcPr>
            <w:tcW w:type="dxa" w:w="2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18"/>
                <w:szCs w:val="18"/>
              </w:rPr>
              <w:t xml:space="preserve">120.000 (unos 6,4 recorridos del ajuste)</w:t>
            </w:r>
          </w:p>
        </w:tc>
        <w:tc>
          <w:tcPr>
            <w:tcW w:type="dxa" w:w="3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18"/>
                <w:szCs w:val="18"/>
              </w:rPr>
              <w:t xml:space="preserve">El agente ve varias veces todo el periodo de ajuste; cada corrida tarda menos de medio minuto.</w:t>
            </w:r>
          </w:p>
        </w:tc>
      </w:tr>
      <w:tr>
        <w:trPr>
          <w:cantSplit/>
        </w:trPr>
        <w:tc>
          <w:tcPr>
            <w:tcW w:type="dxa" w:w="23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18"/>
                <w:szCs w:val="18"/>
              </w:rPr>
              <w:t xml:space="preserve">Replay buffer</w:t>
            </w:r>
          </w:p>
        </w:tc>
        <w:tc>
          <w:tcPr>
            <w:tcW w:type="dxa" w:w="2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18"/>
                <w:szCs w:val="18"/>
              </w:rPr>
              <w:t xml:space="preserve">50.000 transiciones</w:t>
            </w:r>
          </w:p>
        </w:tc>
        <w:tc>
          <w:tcPr>
            <w:tcW w:type="dxa" w:w="3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18"/>
                <w:szCs w:val="18"/>
              </w:rPr>
              <w:t xml:space="preserve">Guarda casi tres recorridos del periodo de ajuste.</w:t>
            </w:r>
          </w:p>
        </w:tc>
      </w:tr>
      <w:tr>
        <w:trPr>
          <w:cantSplit/>
        </w:trPr>
        <w:tc>
          <w:tcPr>
            <w:tcW w:type="dxa" w:w="23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18"/>
                <w:szCs w:val="18"/>
              </w:rPr>
              <w:t xml:space="preserve">Inicio del aprendizaje</w:t>
            </w:r>
          </w:p>
        </w:tc>
        <w:tc>
          <w:tcPr>
            <w:tcW w:type="dxa" w:w="2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18"/>
                <w:szCs w:val="18"/>
              </w:rPr>
              <w:t xml:space="preserve">2.000 pasos</w:t>
            </w:r>
          </w:p>
        </w:tc>
        <w:tc>
          <w:tcPr>
            <w:tcW w:type="dxa" w:w="3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18"/>
                <w:szCs w:val="18"/>
              </w:rPr>
              <w:t xml:space="preserve">Primero llena la memoria con experiencias al azar.</w:t>
            </w:r>
          </w:p>
        </w:tc>
      </w:tr>
      <w:tr>
        <w:trPr>
          <w:cantSplit/>
        </w:trPr>
        <w:tc>
          <w:tcPr>
            <w:tcW w:type="dxa" w:w="23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18"/>
                <w:szCs w:val="18"/>
              </w:rPr>
              <w:t xml:space="preserve">Frecuencia de entrenamiento</w:t>
            </w:r>
          </w:p>
        </w:tc>
        <w:tc>
          <w:tcPr>
            <w:tcW w:type="dxa" w:w="2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18"/>
                <w:szCs w:val="18"/>
              </w:rPr>
              <w:t xml:space="preserve">Una actualización cada 4 pasos</w:t>
            </w:r>
          </w:p>
        </w:tc>
        <w:tc>
          <w:tcPr>
            <w:tcW w:type="dxa" w:w="3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18"/>
                <w:szCs w:val="18"/>
              </w:rPr>
              <w:t xml:space="preserve">Valor por defecto de la librería.</w:t>
            </w:r>
          </w:p>
        </w:tc>
      </w:tr>
      <w:tr>
        <w:trPr>
          <w:cantSplit/>
        </w:trPr>
        <w:tc>
          <w:tcPr>
            <w:tcW w:type="dxa" w:w="23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18"/>
                <w:szCs w:val="18"/>
              </w:rPr>
              <w:t xml:space="preserve">Red objetivo</w:t>
            </w:r>
          </w:p>
        </w:tc>
        <w:tc>
          <w:tcPr>
            <w:tcW w:type="dxa" w:w="2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18"/>
                <w:szCs w:val="18"/>
              </w:rPr>
              <w:t xml:space="preserve">Se copia cada 1.000 pasos</w:t>
            </w:r>
          </w:p>
        </w:tc>
        <w:tc>
          <w:tcPr>
            <w:tcW w:type="dxa" w:w="3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18"/>
                <w:szCs w:val="18"/>
              </w:rPr>
              <w:t xml:space="preserve">Estabiliza el objetivo de aprendizaje.</w:t>
            </w:r>
          </w:p>
        </w:tc>
      </w:tr>
      <w:tr>
        <w:trPr>
          <w:cantSplit/>
        </w:trPr>
        <w:tc>
          <w:tcPr>
            <w:tcW w:type="dxa" w:w="23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18"/>
                <w:szCs w:val="18"/>
              </w:rPr>
              <w:t xml:space="preserve">Exploración</w:t>
            </w:r>
          </w:p>
        </w:tc>
        <w:tc>
          <w:tcPr>
            <w:tcW w:type="dxa" w:w="2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18"/>
                <w:szCs w:val="18"/>
              </w:rPr>
              <w:t xml:space="preserve">ε-greedy lineal</w:t>
            </w:r>
          </w:p>
        </w:tc>
        <w:tc>
          <w:tcPr>
            <w:tcW w:type="dxa" w:w="3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18"/>
                <w:szCs w:val="18"/>
              </w:rPr>
              <w:t xml:space="preserve">Explora mucho al principio y casi nada al final.</w:t>
            </w:r>
          </w:p>
        </w:tc>
      </w:tr>
      <w:tr>
        <w:trPr>
          <w:cantSplit/>
        </w:trPr>
        <w:tc>
          <w:tcPr>
            <w:tcW w:type="dxa" w:w="23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18"/>
                <w:szCs w:val="18"/>
              </w:rPr>
              <w:t xml:space="preserve">ε inicial / final</w:t>
            </w:r>
          </w:p>
        </w:tc>
        <w:tc>
          <w:tcPr>
            <w:tcW w:type="dxa" w:w="2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18"/>
                <w:szCs w:val="18"/>
              </w:rPr>
              <w:t xml:space="preserve">1,0 / 0,05, alcanzado al 40 % de los pasos (48.000)</w:t>
            </w:r>
          </w:p>
        </w:tc>
        <w:tc>
          <w:tcPr>
            <w:tcW w:type="dxa" w:w="3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18"/>
                <w:szCs w:val="18"/>
              </w:rPr>
              <w:t xml:space="preserve">Explora unos 2,6 recorridos completos antes de pasar a explotar lo aprendido.</w:t>
            </w:r>
          </w:p>
        </w:tc>
      </w:tr>
      <w:tr>
        <w:trPr>
          <w:cantSplit/>
        </w:trPr>
        <w:tc>
          <w:tcPr>
            <w:tcW w:type="dxa" w:w="23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18"/>
                <w:szCs w:val="18"/>
              </w:rPr>
              <w:t xml:space="preserve">Criterio de parada</w:t>
            </w:r>
          </w:p>
        </w:tc>
        <w:tc>
          <w:tcPr>
            <w:tcW w:type="dxa" w:w="2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18"/>
                <w:szCs w:val="18"/>
              </w:rPr>
              <w:t xml:space="preserve">Número fijo de pasos (120.000)</w:t>
            </w:r>
          </w:p>
        </w:tc>
        <w:tc>
          <w:tcPr>
            <w:tcW w:type="dxa" w:w="3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18"/>
                <w:szCs w:val="18"/>
              </w:rPr>
              <w:t xml:space="preserve">Sin parada temprana. Se guardan puntos de control cada 20.000 pasos solo para diagnóstico.</w:t>
            </w:r>
          </w:p>
        </w:tc>
      </w:tr>
      <w:tr>
        <w:trPr>
          <w:cantSplit/>
        </w:trPr>
        <w:tc>
          <w:tcPr>
            <w:tcW w:type="dxa" w:w="23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18"/>
                <w:szCs w:val="18"/>
              </w:rPr>
              <w:t xml:space="preserve">Semillas</w:t>
            </w:r>
          </w:p>
        </w:tc>
        <w:tc>
          <w:tcPr>
            <w:tcW w:type="dxa" w:w="2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18"/>
                <w:szCs w:val="18"/>
              </w:rPr>
              <w:t xml:space="preserve">42, 123, 456, 789 y 2026 (agente); 1000 a 1099 (aleatorio)</w:t>
            </w:r>
          </w:p>
        </w:tc>
        <w:tc>
          <w:tcPr>
            <w:tcW w:type="dxa" w:w="3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18"/>
                <w:szCs w:val="18"/>
              </w:rPr>
              <w:t xml:space="preserve">Cinco semillas para medir la variación entre entrenamientos.</w:t>
            </w:r>
          </w:p>
        </w:tc>
      </w:tr>
    </w:tbl>
    <w:p>
      <w:pPr>
        <w:spacing w:after="120"/>
      </w:pPr>
    </w:p>
    <w:p>
      <w:pPr>
        <w:spacing w:after="140" w:line="300"/>
        <w:jc w:val="both"/>
      </w:pPr>
      <w:r>
        <w:rPr>
          <w:rFonts w:ascii="Times New Roman" w:cs="Times New Roman" w:eastAsia="Times New Roman" w:hAnsi="Times New Roman"/>
        </w:rPr>
        <w:t xml:space="preserve">Los hiperparámetros no se ajustaron: se usó una sola configuración en todas las versiones para que las comparaciones aíslen el efecto de la recompensa y del estado.</w:t>
      </w:r>
    </w:p>
    <w:p>
      <w:pPr>
        <w:pStyle w:val="Heading2"/>
        <w:keepNext/>
      </w:pPr>
      <w:r>
        <w:rPr>
          <w:rFonts w:ascii="Times New Roman" w:cs="Times New Roman" w:eastAsia="Times New Roman" w:hAnsi="Times New Roman"/>
        </w:rPr>
        <w:t xml:space="preserve">8.4. Entrenamiento</w:t>
      </w:r>
    </w:p>
    <w:p>
      <w:pPr>
        <w:keepNext/>
        <w:spacing w:after="40" w:before="160"/>
      </w:pPr>
      <w:r>
        <w:rPr>
          <w:rFonts w:ascii="Times New Roman" w:cs="Times New Roman" w:eastAsia="Times New Roman" w:hAnsi="Times New Roman"/>
          <w:b/>
          <w:bCs/>
        </w:rPr>
        <w:t xml:space="preserve">Figura 5</w:t>
      </w:r>
    </w:p>
    <w:p>
      <w:pPr>
        <w:keepNext/>
        <w:spacing w:after="100"/>
      </w:pPr>
      <w:r>
        <w:rPr>
          <w:rFonts w:ascii="Times New Roman" w:cs="Times New Roman" w:eastAsia="Times New Roman" w:hAnsi="Times New Roman"/>
          <w:i/>
          <w:iCs/>
        </w:rPr>
        <w:t xml:space="preserve">Capital por episodio durante el entrenamiento y decaimiento de ε (R1 sin escalar)</w:t>
      </w:r>
    </w:p>
    <w:p>
      <w:pPr>
        <w:keepNext/>
        <w:spacing w:after="60"/>
        <w:jc w:val="center"/>
      </w:pPr>
      <w:r>
        <w:drawing>
          <wp:inline distT="0" distB="0" distL="0" distR="0">
            <wp:extent cx="5524500" cy="2209800"/>
            <wp:effectExtent t="0" r="0" b="0" l="0"/>
            <wp:docPr id="5" name="figura5" descr="Capital por episodio durante el entrenamiento y decaimiento de ε (R1 sin escalar)" title="Capital por episodio durante el entrenamiento y decaimiento de ε (R1 sin escal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2209800"/>
                    </a:xfrm>
                    <a:prstGeom prst="rect">
                      <a:avLst/>
                    </a:prstGeom>
                  </pic:spPr>
                </pic:pic>
              </a:graphicData>
            </a:graphic>
          </wp:inline>
        </w:drawing>
      </w:r>
    </w:p>
    <w:p>
      <w:pPr>
        <w:spacing w:after="180"/>
        <w:jc w:val="both"/>
      </w:pPr>
      <w:r>
        <w:rPr>
          <w:rFonts w:ascii="Times New Roman" w:cs="Times New Roman" w:eastAsia="Times New Roman" w:hAnsi="Times New Roman"/>
          <w:i/>
          <w:iCs/>
          <w:sz w:val="19"/>
          <w:szCs w:val="19"/>
        </w:rPr>
        <w:t xml:space="preserve">Nota.</w:t>
      </w:r>
      <w:r>
        <w:rPr>
          <w:rFonts w:ascii="Times New Roman" w:cs="Times New Roman" w:eastAsia="Times New Roman" w:hAnsi="Times New Roman"/>
          <w:sz w:val="19"/>
          <w:szCs w:val="19"/>
        </w:rPr>
        <w:t xml:space="preserve"> El capital durante el entrenamiento incluye la exploración: incluso al final, el 5 % de las acciones son al azar y pagan comisión. No mide la política aprendida, que se evalúa aparte sin exploración.</w:t>
      </w:r>
    </w:p>
    <w:p>
      <w:pPr>
        <w:spacing w:after="140" w:line="300"/>
        <w:jc w:val="both"/>
      </w:pPr>
      <w:r>
        <w:rPr>
          <w:rFonts w:ascii="Times New Roman" w:cs="Times New Roman" w:eastAsia="Times New Roman" w:hAnsi="Times New Roman"/>
        </w:rPr>
        <w:t xml:space="preserve">Los episodios iniciales terminan con casi todo el capital perdido porque el agente actúa al azar y paga comisiones en cada cambio, como el agente aleatorio. A medida que ε baja, el capital de cada recorrido mejora, pero no de forma estable: varía de una semilla a otra y de un episodio a otro. En el periodo de ajuste la política final del agente elegido ganó +13,7 % (mediana de las 5 semillas), frente a +10,5 % de comprar y mantener.</w:t>
      </w:r>
    </w:p>
    <w:p>
      <w:pPr>
        <w:pStyle w:val="Heading1"/>
        <w:keepNext/>
      </w:pPr>
      <w:r>
        <w:rPr>
          <w:rFonts w:ascii="Times New Roman" w:cs="Times New Roman" w:eastAsia="Times New Roman" w:hAnsi="Times New Roman"/>
        </w:rPr>
        <w:t xml:space="preserve">9. Protocolo de entrenamiento y evaluación</w:t>
      </w:r>
    </w:p>
    <w:p>
      <w:pPr>
        <w:keepNext/>
        <w:shd w:fill="F2F2F2" w:color="auto" w:val="clear"/>
        <w:spacing w:after="0" w:before="80" w:line="240"/>
        <w:ind w:left="200"/>
      </w:pPr>
      <w:r>
        <w:rPr>
          <w:rFonts w:ascii="Consolas" w:cs="Consolas" w:eastAsia="Consolas" w:hAnsi="Consolas"/>
          <w:sz w:val="18"/>
          <w:szCs w:val="18"/>
        </w:rPr>
        <w:t xml:space="preserve">Datos históricos (33.235 horas)</w:t>
      </w:r>
    </w:p>
    <w:p>
      <w:pPr>
        <w:keepNext/>
        <w:shd w:fill="F2F2F2" w:color="auto" w:val="clear"/>
        <w:spacing w:after="0" w:before="0" w:line="240"/>
        <w:ind w:left="200"/>
      </w:pPr>
      <w:r>
        <w:rPr>
          <w:rFonts w:ascii="Consolas" w:cs="Consolas" w:eastAsia="Consolas" w:hAnsi="Consolas"/>
          <w:sz w:val="18"/>
          <w:szCs w:val="18"/>
        </w:rPr>
        <w:t xml:space="preserve">|</w:t>
      </w:r>
    </w:p>
    <w:p>
      <w:pPr>
        <w:keepNext/>
        <w:shd w:fill="F2F2F2" w:color="auto" w:val="clear"/>
        <w:spacing w:after="0" w:before="0" w:line="240"/>
        <w:ind w:left="200"/>
      </w:pPr>
      <w:r>
        <w:rPr>
          <w:rFonts w:ascii="Consolas" w:cs="Consolas" w:eastAsia="Consolas" w:hAnsi="Consolas"/>
          <w:sz w:val="18"/>
          <w:szCs w:val="18"/>
        </w:rPr>
        <w:t xml:space="preserve">+-- Entrenamiento (70 %)</w:t>
      </w:r>
    </w:p>
    <w:p>
      <w:pPr>
        <w:keepNext/>
        <w:shd w:fill="F2F2F2" w:color="auto" w:val="clear"/>
        <w:spacing w:after="0" w:before="0" w:line="240"/>
        <w:ind w:left="200"/>
      </w:pPr>
      <w:r>
        <w:rPr>
          <w:rFonts w:ascii="Consolas" w:cs="Consolas" w:eastAsia="Consolas" w:hAnsi="Consolas"/>
          <w:sz w:val="18"/>
          <w:szCs w:val="18"/>
        </w:rPr>
        <w:t xml:space="preserve">|     +-- Ajuste (18.611 h): el agente aprende</w:t>
      </w:r>
    </w:p>
    <w:p>
      <w:pPr>
        <w:keepNext/>
        <w:shd w:fill="F2F2F2" w:color="auto" w:val="clear"/>
        <w:spacing w:after="0" w:before="0" w:line="240"/>
        <w:ind w:left="200"/>
      </w:pPr>
      <w:r>
        <w:rPr>
          <w:rFonts w:ascii="Consolas" w:cs="Consolas" w:eastAsia="Consolas" w:hAnsi="Consolas"/>
          <w:sz w:val="18"/>
          <w:szCs w:val="18"/>
        </w:rPr>
        <w:t xml:space="preserve">|     +-- Validación (4.653 h): se compara y se elige la versión</w:t>
      </w:r>
    </w:p>
    <w:p>
      <w:pPr>
        <w:keepNext/>
        <w:shd w:fill="F2F2F2" w:color="auto" w:val="clear"/>
        <w:spacing w:after="0" w:before="0" w:line="240"/>
        <w:ind w:left="200"/>
      </w:pPr>
      <w:r>
        <w:rPr>
          <w:rFonts w:ascii="Consolas" w:cs="Consolas" w:eastAsia="Consolas" w:hAnsi="Consolas"/>
          <w:sz w:val="18"/>
          <w:szCs w:val="18"/>
        </w:rPr>
        <w:t xml:space="preserve">|</w:t>
      </w:r>
    </w:p>
    <w:p>
      <w:pPr>
        <w:keepNext w:val="false"/>
        <w:shd w:fill="F2F2F2" w:color="auto" w:val="clear"/>
        <w:spacing w:after="0" w:before="0" w:line="240"/>
        <w:ind w:left="200"/>
      </w:pPr>
      <w:r>
        <w:rPr>
          <w:rFonts w:ascii="Consolas" w:cs="Consolas" w:eastAsia="Consolas" w:hAnsi="Consolas"/>
          <w:sz w:val="18"/>
          <w:szCs w:val="18"/>
        </w:rPr>
        <w:t xml:space="preserve">+-- Prueba / held-out (9.971 h): evaluación final, una sola vez</w:t>
      </w:r>
    </w:p>
    <w:p>
      <w:pPr>
        <w:spacing w:after="120"/>
      </w:pPr>
    </w:p>
    <w:p>
      <w:pPr>
        <w:pStyle w:val="ListParagraph"/>
        <w:numPr>
          <w:ilvl w:val="0"/>
          <w:numId w:val="5"/>
        </w:numPr>
        <w:spacing w:after="80" w:line="290"/>
        <w:jc w:val="both"/>
      </w:pPr>
      <w:r>
        <w:rPr>
          <w:rFonts w:ascii="Times New Roman" w:cs="Times New Roman" w:eastAsia="Times New Roman" w:hAnsi="Times New Roman"/>
        </w:rPr>
        <w:t xml:space="preserve">Cada versión se entrena con cinco semillas usando solo el periodo de ajuste.</w:t>
      </w:r>
    </w:p>
    <w:p>
      <w:pPr>
        <w:pStyle w:val="ListParagraph"/>
        <w:numPr>
          <w:ilvl w:val="0"/>
          <w:numId w:val="5"/>
        </w:numPr>
        <w:spacing w:after="80" w:line="290"/>
        <w:jc w:val="both"/>
      </w:pPr>
      <w:r>
        <w:rPr>
          <w:rFonts w:ascii="Times New Roman" w:cs="Times New Roman" w:eastAsia="Times New Roman" w:hAnsi="Times New Roman"/>
        </w:rPr>
        <w:t xml:space="preserve">Cada modelo y cada estrategia de referencia se evalúa en validación: sin aprendizaje, sin exploración y con las mismas condiciones.</w:t>
      </w:r>
    </w:p>
    <w:p>
      <w:pPr>
        <w:pStyle w:val="ListParagraph"/>
        <w:numPr>
          <w:ilvl w:val="0"/>
          <w:numId w:val="5"/>
        </w:numPr>
        <w:spacing w:after="80" w:line="290"/>
        <w:jc w:val="both"/>
      </w:pPr>
      <w:r>
        <w:rPr>
          <w:rFonts w:ascii="Times New Roman" w:cs="Times New Roman" w:eastAsia="Times New Roman" w:hAnsi="Times New Roman"/>
        </w:rPr>
        <w:t xml:space="preserve">La regla de selección se escribió el 20 de octubre de 2026, antes de entrenar R3 y sin haber evaluado ningún agente DQN en la prueba: (a) se toma la mediana de las 5 semillas; (b) se descarta la versión si su mediana de drawdown es peor que la de comprar y mantener en validación (−19,90 %); (c) entre las que quedan gana la de mayor mediana de retorno; (d) en la prueba se evalúan las 5 semillas de la versión ganadora y se muestra en las gráficas la semilla con el retorno de validación igual a la mediana, es decir, el agente típico y no el mejor.</w:t>
      </w:r>
    </w:p>
    <w:p>
      <w:pPr>
        <w:pStyle w:val="ListParagraph"/>
        <w:numPr>
          <w:ilvl w:val="0"/>
          <w:numId w:val="5"/>
        </w:numPr>
        <w:spacing w:after="80" w:line="290"/>
        <w:jc w:val="both"/>
      </w:pPr>
      <w:r>
        <w:rPr>
          <w:rFonts w:ascii="Times New Roman" w:cs="Times New Roman" w:eastAsia="Times New Roman" w:hAnsi="Times New Roman"/>
        </w:rPr>
        <w:t xml:space="preserve">La decisión se congeló en </w:t>
      </w:r>
      <w:r>
        <w:rPr>
          <w:rFonts w:ascii="Consolas" w:cs="Consolas" w:eastAsia="Consolas" w:hAnsi="Consolas"/>
          <w:sz w:val="21"/>
          <w:szCs w:val="21"/>
        </w:rPr>
        <w:t xml:space="preserve">configs/seleccion.json</w:t>
      </w:r>
      <w:r>
        <w:rPr>
          <w:rFonts w:ascii="Times New Roman" w:cs="Times New Roman" w:eastAsia="Times New Roman" w:hAnsi="Times New Roman"/>
        </w:rPr>
        <w:t xml:space="preserve">, con fecha (21 de octubre de 2026, 03:33 UTC) y la huella SHA-256 de los cinco modelos, antes de tocar la prueba. El código no evalúa la prueba si ese archivo no existe.</w:t>
      </w:r>
    </w:p>
    <w:p>
      <w:pPr>
        <w:pStyle w:val="ListParagraph"/>
        <w:numPr>
          <w:ilvl w:val="0"/>
          <w:numId w:val="5"/>
        </w:numPr>
        <w:spacing w:after="80" w:line="290"/>
        <w:jc w:val="both"/>
      </w:pPr>
      <w:r>
        <w:rPr>
          <w:rFonts w:ascii="Times New Roman" w:cs="Times New Roman" w:eastAsia="Times New Roman" w:hAnsi="Times New Roman"/>
        </w:rPr>
        <w:t xml:space="preserve">La prueba se evaluó una vez: las 5 semillas del agente elegido, comprar y mantener, constante 50 % y 100 semillas del agente aleatorio, con el mismo capital (10.000 USD), el mismo costo (0,1 %), el mismo punto de partida (efectivo) y el mismo periodo.</w:t>
      </w:r>
    </w:p>
    <w:p>
      <w:pPr>
        <w:pStyle w:val="ListParagraph"/>
        <w:numPr>
          <w:ilvl w:val="0"/>
          <w:numId w:val="5"/>
        </w:numPr>
        <w:spacing w:after="80" w:line="290"/>
        <w:jc w:val="both"/>
      </w:pPr>
      <w:r>
        <w:rPr>
          <w:rFonts w:ascii="Times New Roman" w:cs="Times New Roman" w:eastAsia="Times New Roman" w:hAnsi="Times New Roman"/>
        </w:rPr>
        <w:t xml:space="preserve">Después, solo para la discusión, se evaluaron en la prueba las versiones no elegidas. Ese análisis no cambia la selección.</w:t>
      </w:r>
    </w:p>
    <w:p>
      <w:pPr>
        <w:spacing w:after="140" w:line="300"/>
        <w:jc w:val="both"/>
      </w:pPr>
      <w:r>
        <w:rPr>
          <w:rFonts w:ascii="Times New Roman" w:cs="Times New Roman" w:eastAsia="Times New Roman" w:hAnsi="Times New Roman"/>
          <w:b/>
          <w:bCs/>
        </w:rPr>
        <w:t xml:space="preserve">Estrategias de referencia</w:t>
      </w:r>
      <w:r>
        <w:rPr>
          <w:rFonts w:ascii="Times New Roman" w:cs="Times New Roman" w:eastAsia="Times New Roman" w:hAnsi="Times New Roman"/>
        </w:rPr>
        <w:t xml:space="preserve"> (</w:t>
      </w:r>
      <w:r>
        <w:rPr>
          <w:rFonts w:ascii="Consolas" w:cs="Consolas" w:eastAsia="Consolas" w:hAnsi="Consolas"/>
          <w:sz w:val="21"/>
          <w:szCs w:val="21"/>
        </w:rPr>
        <w:t xml:space="preserve">src/baselines.py</w:t>
      </w:r>
      <w:r>
        <w:rPr>
          <w:rFonts w:ascii="Times New Roman" w:cs="Times New Roman" w:eastAsia="Times New Roman" w:hAnsi="Times New Roman"/>
        </w:rPr>
        <w:t xml:space="preserve">). </w:t>
      </w:r>
      <w:r>
        <w:rPr>
          <w:rFonts w:ascii="Times New Roman" w:cs="Times New Roman" w:eastAsia="Times New Roman" w:hAnsi="Times New Roman"/>
          <w:i/>
          <w:iCs/>
        </w:rPr>
        <w:t xml:space="preserve">Comprar y mantener</w:t>
      </w:r>
      <w:r>
        <w:rPr>
          <w:rFonts w:ascii="Times New Roman" w:cs="Times New Roman" w:eastAsia="Times New Roman" w:hAnsi="Times New Roman"/>
        </w:rPr>
        <w:t xml:space="preserve"> pide 100 % desde la primera hora y no vuelve a operar. </w:t>
      </w:r>
      <w:r>
        <w:rPr>
          <w:rFonts w:ascii="Times New Roman" w:cs="Times New Roman" w:eastAsia="Times New Roman" w:hAnsi="Times New Roman"/>
          <w:i/>
          <w:iCs/>
        </w:rPr>
        <w:t xml:space="preserve">Aleatorio</w:t>
      </w:r>
      <w:r>
        <w:rPr>
          <w:rFonts w:ascii="Times New Roman" w:cs="Times New Roman" w:eastAsia="Times New Roman" w:hAnsi="Times New Roman"/>
        </w:rPr>
        <w:t xml:space="preserve"> elige 0 %, 50 % o 100 % al azar cada hora; se repite con 100 semillas porque una sola semilla sería anecdótica, y se reporta la mediana con los percentiles 5 y 95. </w:t>
      </w:r>
      <w:r>
        <w:rPr>
          <w:rFonts w:ascii="Times New Roman" w:cs="Times New Roman" w:eastAsia="Times New Roman" w:hAnsi="Times New Roman"/>
          <w:i/>
          <w:iCs/>
        </w:rPr>
        <w:t xml:space="preserve">Constante 50 %</w:t>
      </w:r>
      <w:r>
        <w:rPr>
          <w:rFonts w:ascii="Times New Roman" w:cs="Times New Roman" w:eastAsia="Times New Roman" w:hAnsi="Times New Roman"/>
        </w:rPr>
        <w:t xml:space="preserve"> es una referencia extra: mantiene la mitad del capital en BTC y rebalancea cada hora. Se agregó porque varias versiones del agente terminaron haciendo casi eso.</w:t>
      </w:r>
    </w:p>
    <w:p>
      <w:pPr>
        <w:spacing w:after="140" w:line="300"/>
        <w:jc w:val="both"/>
      </w:pPr>
      <w:r>
        <w:rPr>
          <w:rFonts w:ascii="Times New Roman" w:cs="Times New Roman" w:eastAsia="Times New Roman" w:hAnsi="Times New Roman"/>
          <w:b/>
          <w:bCs/>
        </w:rPr>
        <w:t xml:space="preserve">¿Por qué no se reentrena con todo el 70 %?</w:t>
      </w:r>
      <w:r>
        <w:rPr>
          <w:rFonts w:ascii="Times New Roman" w:cs="Times New Roman" w:eastAsia="Times New Roman" w:hAnsi="Times New Roman"/>
        </w:rPr>
        <w:t xml:space="preserve"> Una opción era reentrenar el modelo final con todo el entrenamiento. Ese modelo no se puede validar sin usar la prueba, y con la inestabilidad observada (sección 7.1) podría resultar una política distinta de la que se validó: en una prueba de la primera versión, el modelo reentrenado eligió solo 0 % y 50 % en sus primeras 100 horas de comprobación, mientras que el modelo validado nunca eligió 0 %. Por eso el agente final es exactamente el modelo que se validó.</w:t>
      </w:r>
    </w:p>
    <w:p>
      <w:pPr>
        <w:spacing w:after="140" w:line="300"/>
        <w:jc w:val="both"/>
      </w:pPr>
      <w:r>
        <w:rPr>
          <w:rFonts w:ascii="Times New Roman" w:cs="Times New Roman" w:eastAsia="Times New Roman" w:hAnsi="Times New Roman"/>
          <w:b/>
          <w:bCs/>
        </w:rPr>
        <w:t xml:space="preserve">Transparencia.</w:t>
      </w:r>
      <w:r>
        <w:rPr>
          <w:rFonts w:ascii="Times New Roman" w:cs="Times New Roman" w:eastAsia="Times New Roman" w:hAnsi="Times New Roman"/>
        </w:rPr>
        <w:t xml:space="preserve"> El periodo de prueba no estuvo completamente oculto durante todo el proyecto. (1) En la primera etapa del proyecto se evaluó un DQN preliminar en este periodo (Anexo A). (2) Durante la verificación del entorno final se calcularon comprar y mantener, constante 50 % y aleatorio en la prueba, antes de la selección; no tienen parámetros y ninguna decisión los usó. (3) El análisis exploratorio descriptivo usa toda la serie. Ningún hiperparámetro, recompensa ni modelo del agente final se ajustó con la prueba.</w:t>
      </w:r>
    </w:p>
    <w:p>
      <w:pPr>
        <w:pStyle w:val="Heading1"/>
        <w:keepNext/>
      </w:pPr>
      <w:r>
        <w:rPr>
          <w:rFonts w:ascii="Times New Roman" w:cs="Times New Roman" w:eastAsia="Times New Roman" w:hAnsi="Times New Roman"/>
        </w:rPr>
        <w:t xml:space="preserve">10. Resultados en datos no vistos</w:t>
      </w:r>
    </w:p>
    <w:p>
      <w:pPr>
        <w:pStyle w:val="Heading2"/>
        <w:keepNext/>
      </w:pPr>
      <w:r>
        <w:rPr>
          <w:rFonts w:ascii="Times New Roman" w:cs="Times New Roman" w:eastAsia="Times New Roman" w:hAnsi="Times New Roman"/>
        </w:rPr>
        <w:t xml:space="preserve">10.1. Versión elegida</w:t>
      </w:r>
    </w:p>
    <w:p>
      <w:pPr>
        <w:spacing w:after="140" w:line="300"/>
        <w:jc w:val="both"/>
      </w:pPr>
      <w:r>
        <w:rPr>
          <w:rFonts w:ascii="Times New Roman" w:cs="Times New Roman" w:eastAsia="Times New Roman" w:hAnsi="Times New Roman"/>
        </w:rPr>
        <w:t xml:space="preserve">Con la regla de selección, R1 y R2 con estado escalado se descartaron porque su drawdown (−20,9 % y −22,8 %) fue peor que el de comprar y mantener. Entre las restantes ganó </w:t>
      </w:r>
      <w:r>
        <w:rPr>
          <w:rFonts w:ascii="Times New Roman" w:cs="Times New Roman" w:eastAsia="Times New Roman" w:hAnsi="Times New Roman"/>
          <w:b/>
          <w:bCs/>
        </w:rPr>
        <w:t xml:space="preserve">R1 con estado sin escalar</w:t>
      </w:r>
      <w:r>
        <w:rPr>
          <w:rFonts w:ascii="Times New Roman" w:cs="Times New Roman" w:eastAsia="Times New Roman" w:hAnsi="Times New Roman"/>
        </w:rPr>
        <w:t xml:space="preserve"> (mediana de +189,2 %), seguida de R3 con κ = 0,002 (+92,2 %). La semilla típica es la 123 (+189,17 % en validación). Hay que notar que la regla favoreció a la versión con más exposición: la validación fue un periodo alcista, y en un periodo así gana el que más invierte.</w:t>
      </w:r>
    </w:p>
    <w:p>
      <w:pPr>
        <w:pStyle w:val="Heading2"/>
        <w:keepNext/>
      </w:pPr>
      <w:r>
        <w:rPr>
          <w:rFonts w:ascii="Times New Roman" w:cs="Times New Roman" w:eastAsia="Times New Roman" w:hAnsi="Times New Roman"/>
        </w:rPr>
        <w:t xml:space="preserve">10.2. Métricas en el periodo de prueba</w:t>
      </w:r>
    </w:p>
    <w:p>
      <w:pPr>
        <w:keepNext/>
        <w:spacing w:after="40" w:before="160"/>
      </w:pPr>
      <w:r>
        <w:rPr>
          <w:rFonts w:ascii="Times New Roman" w:cs="Times New Roman" w:eastAsia="Times New Roman" w:hAnsi="Times New Roman"/>
          <w:b/>
          <w:bCs/>
        </w:rPr>
        <w:t xml:space="preserve">Tabla 11</w:t>
      </w:r>
    </w:p>
    <w:p>
      <w:pPr>
        <w:keepNext/>
        <w:spacing w:after="100"/>
      </w:pPr>
      <w:r>
        <w:rPr>
          <w:rFonts w:ascii="Times New Roman" w:cs="Times New Roman" w:eastAsia="Times New Roman" w:hAnsi="Times New Roman"/>
          <w:i/>
          <w:iCs/>
        </w:rPr>
        <w:t xml:space="preserve">Resultados en el periodo de prueba (9 de enero de 2021 a 1 de marzo de 2022)</w:t>
      </w:r>
    </w:p>
    <w:tbl>
      <w:tblPr>
        <w:tblW w:type="dxa" w:w="8838"/>
        <w:tblBorders>
          <w:top w:val="single" w:color="auto" w:sz="4"/>
          <w:left w:val="single" w:color="auto" w:sz="4"/>
          <w:bottom w:val="single" w:color="auto" w:sz="4"/>
          <w:right w:val="single" w:color="auto" w:sz="4"/>
          <w:insideH w:val="single" w:color="auto" w:sz="4"/>
          <w:insideV w:val="single" w:color="auto" w:sz="4"/>
        </w:tblBorders>
      </w:tblPr>
      <w:tblGrid>
        <w:gridCol w:w="2238"/>
        <w:gridCol w:w="1150"/>
        <w:gridCol w:w="1100"/>
        <w:gridCol w:w="1100"/>
        <w:gridCol w:w="1100"/>
        <w:gridCol w:w="1100"/>
        <w:gridCol w:w="1050"/>
      </w:tblGrid>
      <w:tr>
        <w:trPr>
          <w:tblHeader/>
        </w:trPr>
        <w:tc>
          <w:tcPr>
            <w:tcW w:type="dxa" w:w="2238"/>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17"/>
                <w:szCs w:val="17"/>
              </w:rPr>
              <w:t xml:space="preserve">Estrategia</w:t>
            </w:r>
          </w:p>
        </w:tc>
        <w:tc>
          <w:tcPr>
            <w:tcW w:type="dxa" w:w="1150"/>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17"/>
                <w:szCs w:val="17"/>
              </w:rPr>
              <w:t xml:space="preserve">Capital final (USD)</w:t>
            </w:r>
          </w:p>
        </w:tc>
        <w:tc>
          <w:tcPr>
            <w:tcW w:type="dxa" w:w="1100"/>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17"/>
                <w:szCs w:val="17"/>
              </w:rPr>
              <w:t xml:space="preserve">Retorno acumulado</w:t>
            </w:r>
          </w:p>
        </w:tc>
        <w:tc>
          <w:tcPr>
            <w:tcW w:type="dxa" w:w="1100"/>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17"/>
                <w:szCs w:val="17"/>
              </w:rPr>
              <w:t xml:space="preserve">Máximo drawdown</w:t>
            </w:r>
          </w:p>
        </w:tc>
        <w:tc>
          <w:tcPr>
            <w:tcW w:type="dxa" w:w="1100"/>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17"/>
                <w:szCs w:val="17"/>
              </w:rPr>
              <w:t xml:space="preserve">Costos (USD)</w:t>
            </w:r>
          </w:p>
        </w:tc>
        <w:tc>
          <w:tcPr>
            <w:tcW w:type="dxa" w:w="1100"/>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17"/>
                <w:szCs w:val="17"/>
              </w:rPr>
              <w:t xml:space="preserve">Costos (% capital inicial)</w:t>
            </w:r>
          </w:p>
        </w:tc>
        <w:tc>
          <w:tcPr>
            <w:tcW w:type="dxa" w:w="1050"/>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17"/>
                <w:szCs w:val="17"/>
              </w:rPr>
              <w:t xml:space="preserve">Cambios de exposición</w:t>
            </w:r>
          </w:p>
        </w:tc>
      </w:tr>
      <w:tr>
        <w:trPr>
          <w:cantSplit/>
        </w:trPr>
        <w:tc>
          <w:tcPr>
            <w:tcW w:type="dxa" w:w="2238"/>
            <w:tcBorders>
              <w:top w:val="single" w:color="A6A6A6" w:sz="4"/>
              <w:left w:val="single" w:color="A6A6A6" w:sz="4"/>
              <w:bottom w:val="single" w:color="A6A6A6" w:sz="4"/>
              <w:right w:val="single" w:color="A6A6A6" w:sz="4"/>
            </w:tcBorders>
            <w:shd w:fill="FFF4CC" w:color="auto" w:val="clear"/>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17"/>
                <w:szCs w:val="17"/>
              </w:rPr>
              <w:t xml:space="preserve">Agente DQN final (R1 sin escalar, semilla 123)</w:t>
            </w:r>
          </w:p>
        </w:tc>
        <w:tc>
          <w:tcPr>
            <w:tcW w:type="dxa" w:w="1150"/>
            <w:tcBorders>
              <w:top w:val="single" w:color="A6A6A6" w:sz="4"/>
              <w:left w:val="single" w:color="A6A6A6" w:sz="4"/>
              <w:bottom w:val="single" w:color="A6A6A6" w:sz="4"/>
              <w:right w:val="single" w:color="A6A6A6" w:sz="4"/>
            </w:tcBorders>
            <w:shd w:fill="FFF4CC" w:color="auto" w:val="clear"/>
            <w:tcMar>
              <w:top w:type="dxa" w:w="50"/>
              <w:left w:type="dxa" w:w="90"/>
              <w:bottom w:type="dxa" w:w="50"/>
              <w:right w:type="dxa" w:w="90"/>
            </w:tcMar>
          </w:tcPr>
          <w:p>
            <w:pPr>
              <w:spacing w:after="0" w:line="250"/>
              <w:jc w:val="right"/>
            </w:pPr>
            <w:r>
              <w:rPr>
                <w:rFonts w:ascii="Times New Roman" w:cs="Times New Roman" w:eastAsia="Times New Roman" w:hAnsi="Times New Roman"/>
                <w:b w:val="false"/>
                <w:bCs w:val="false"/>
                <w:sz w:val="17"/>
                <w:szCs w:val="17"/>
              </w:rPr>
              <w:t xml:space="preserve">9.108,57</w:t>
            </w:r>
          </w:p>
        </w:tc>
        <w:tc>
          <w:tcPr>
            <w:tcW w:type="dxa" w:w="1100"/>
            <w:tcBorders>
              <w:top w:val="single" w:color="A6A6A6" w:sz="4"/>
              <w:left w:val="single" w:color="A6A6A6" w:sz="4"/>
              <w:bottom w:val="single" w:color="A6A6A6" w:sz="4"/>
              <w:right w:val="single" w:color="A6A6A6" w:sz="4"/>
            </w:tcBorders>
            <w:shd w:fill="FFF4CC" w:color="auto" w:val="clear"/>
            <w:tcMar>
              <w:top w:type="dxa" w:w="50"/>
              <w:left w:type="dxa" w:w="90"/>
              <w:bottom w:type="dxa" w:w="50"/>
              <w:right w:type="dxa" w:w="90"/>
            </w:tcMar>
          </w:tcPr>
          <w:p>
            <w:pPr>
              <w:spacing w:after="0" w:line="250"/>
              <w:jc w:val="right"/>
            </w:pPr>
            <w:r>
              <w:rPr>
                <w:rFonts w:ascii="Times New Roman" w:cs="Times New Roman" w:eastAsia="Times New Roman" w:hAnsi="Times New Roman"/>
                <w:b w:val="false"/>
                <w:bCs w:val="false"/>
                <w:sz w:val="17"/>
                <w:szCs w:val="17"/>
              </w:rPr>
              <w:t xml:space="preserve">−8,91 %</w:t>
            </w:r>
          </w:p>
        </w:tc>
        <w:tc>
          <w:tcPr>
            <w:tcW w:type="dxa" w:w="1100"/>
            <w:tcBorders>
              <w:top w:val="single" w:color="A6A6A6" w:sz="4"/>
              <w:left w:val="single" w:color="A6A6A6" w:sz="4"/>
              <w:bottom w:val="single" w:color="A6A6A6" w:sz="4"/>
              <w:right w:val="single" w:color="A6A6A6" w:sz="4"/>
            </w:tcBorders>
            <w:shd w:fill="FFF4CC" w:color="auto" w:val="clear"/>
            <w:tcMar>
              <w:top w:type="dxa" w:w="50"/>
              <w:left w:type="dxa" w:w="90"/>
              <w:bottom w:type="dxa" w:w="50"/>
              <w:right w:type="dxa" w:w="90"/>
            </w:tcMar>
          </w:tcPr>
          <w:p>
            <w:pPr>
              <w:spacing w:after="0" w:line="250"/>
              <w:jc w:val="right"/>
            </w:pPr>
            <w:r>
              <w:rPr>
                <w:rFonts w:ascii="Times New Roman" w:cs="Times New Roman" w:eastAsia="Times New Roman" w:hAnsi="Times New Roman"/>
                <w:b w:val="false"/>
                <w:bCs w:val="false"/>
                <w:sz w:val="17"/>
                <w:szCs w:val="17"/>
              </w:rPr>
              <w:t xml:space="preserve">−55,20 %</w:t>
            </w:r>
          </w:p>
        </w:tc>
        <w:tc>
          <w:tcPr>
            <w:tcW w:type="dxa" w:w="1100"/>
            <w:tcBorders>
              <w:top w:val="single" w:color="A6A6A6" w:sz="4"/>
              <w:left w:val="single" w:color="A6A6A6" w:sz="4"/>
              <w:bottom w:val="single" w:color="A6A6A6" w:sz="4"/>
              <w:right w:val="single" w:color="A6A6A6" w:sz="4"/>
            </w:tcBorders>
            <w:shd w:fill="FFF4CC" w:color="auto" w:val="clear"/>
            <w:tcMar>
              <w:top w:type="dxa" w:w="50"/>
              <w:left w:type="dxa" w:w="90"/>
              <w:bottom w:type="dxa" w:w="50"/>
              <w:right w:type="dxa" w:w="90"/>
            </w:tcMar>
          </w:tcPr>
          <w:p>
            <w:pPr>
              <w:spacing w:after="0" w:line="250"/>
              <w:jc w:val="right"/>
            </w:pPr>
            <w:r>
              <w:rPr>
                <w:rFonts w:ascii="Times New Roman" w:cs="Times New Roman" w:eastAsia="Times New Roman" w:hAnsi="Times New Roman"/>
                <w:b w:val="false"/>
                <w:bCs w:val="false"/>
                <w:sz w:val="17"/>
                <w:szCs w:val="17"/>
              </w:rPr>
              <w:t xml:space="preserve">425,68</w:t>
            </w:r>
          </w:p>
        </w:tc>
        <w:tc>
          <w:tcPr>
            <w:tcW w:type="dxa" w:w="1100"/>
            <w:tcBorders>
              <w:top w:val="single" w:color="A6A6A6" w:sz="4"/>
              <w:left w:val="single" w:color="A6A6A6" w:sz="4"/>
              <w:bottom w:val="single" w:color="A6A6A6" w:sz="4"/>
              <w:right w:val="single" w:color="A6A6A6" w:sz="4"/>
            </w:tcBorders>
            <w:shd w:fill="FFF4CC" w:color="auto" w:val="clear"/>
            <w:tcMar>
              <w:top w:type="dxa" w:w="50"/>
              <w:left w:type="dxa" w:w="90"/>
              <w:bottom w:type="dxa" w:w="50"/>
              <w:right w:type="dxa" w:w="90"/>
            </w:tcMar>
          </w:tcPr>
          <w:p>
            <w:pPr>
              <w:spacing w:after="0" w:line="250"/>
              <w:jc w:val="right"/>
            </w:pPr>
            <w:r>
              <w:rPr>
                <w:rFonts w:ascii="Times New Roman" w:cs="Times New Roman" w:eastAsia="Times New Roman" w:hAnsi="Times New Roman"/>
                <w:b w:val="false"/>
                <w:bCs w:val="false"/>
                <w:sz w:val="17"/>
                <w:szCs w:val="17"/>
              </w:rPr>
              <w:t xml:space="preserve">4,26 %</w:t>
            </w:r>
          </w:p>
        </w:tc>
        <w:tc>
          <w:tcPr>
            <w:tcW w:type="dxa" w:w="1050"/>
            <w:tcBorders>
              <w:top w:val="single" w:color="A6A6A6" w:sz="4"/>
              <w:left w:val="single" w:color="A6A6A6" w:sz="4"/>
              <w:bottom w:val="single" w:color="A6A6A6" w:sz="4"/>
              <w:right w:val="single" w:color="A6A6A6" w:sz="4"/>
            </w:tcBorders>
            <w:shd w:fill="FFF4CC" w:color="auto" w:val="clear"/>
            <w:tcMar>
              <w:top w:type="dxa" w:w="50"/>
              <w:left w:type="dxa" w:w="90"/>
              <w:bottom w:type="dxa" w:w="50"/>
              <w:right w:type="dxa" w:w="90"/>
            </w:tcMar>
          </w:tcPr>
          <w:p>
            <w:pPr>
              <w:spacing w:after="0" w:line="250"/>
              <w:jc w:val="right"/>
            </w:pPr>
            <w:r>
              <w:rPr>
                <w:rFonts w:ascii="Times New Roman" w:cs="Times New Roman" w:eastAsia="Times New Roman" w:hAnsi="Times New Roman"/>
                <w:b w:val="false"/>
                <w:bCs w:val="false"/>
                <w:sz w:val="17"/>
                <w:szCs w:val="17"/>
              </w:rPr>
              <w:t xml:space="preserve">65</w:t>
            </w:r>
          </w:p>
        </w:tc>
      </w:tr>
      <w:tr>
        <w:trPr>
          <w:cantSplit/>
        </w:trPr>
        <w:tc>
          <w:tcPr>
            <w:tcW w:type="dxa" w:w="22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17"/>
                <w:szCs w:val="17"/>
              </w:rPr>
              <w:t xml:space="preserve">Agente DQN, mediana de las 5 semillas</w:t>
            </w:r>
          </w:p>
        </w:tc>
        <w:tc>
          <w:tcPr>
            <w:tcW w:type="dxa" w:w="11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right"/>
            </w:pPr>
            <w:r>
              <w:rPr>
                <w:rFonts w:ascii="Times New Roman" w:cs="Times New Roman" w:eastAsia="Times New Roman" w:hAnsi="Times New Roman"/>
                <w:b w:val="false"/>
                <w:bCs w:val="false"/>
                <w:sz w:val="17"/>
                <w:szCs w:val="17"/>
              </w:rPr>
              <w:t xml:space="preserve">9.108,57</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right"/>
            </w:pPr>
            <w:r>
              <w:rPr>
                <w:rFonts w:ascii="Times New Roman" w:cs="Times New Roman" w:eastAsia="Times New Roman" w:hAnsi="Times New Roman"/>
                <w:b w:val="false"/>
                <w:bCs w:val="false"/>
                <w:sz w:val="17"/>
                <w:szCs w:val="17"/>
              </w:rPr>
              <w:t xml:space="preserve">−8,91 %</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right"/>
            </w:pPr>
            <w:r>
              <w:rPr>
                <w:rFonts w:ascii="Times New Roman" w:cs="Times New Roman" w:eastAsia="Times New Roman" w:hAnsi="Times New Roman"/>
                <w:b w:val="false"/>
                <w:bCs w:val="false"/>
                <w:sz w:val="17"/>
                <w:szCs w:val="17"/>
              </w:rPr>
              <w:t xml:space="preserve">−55,20 %</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right"/>
            </w:pPr>
            <w:r>
              <w:rPr>
                <w:rFonts w:ascii="Times New Roman" w:cs="Times New Roman" w:eastAsia="Times New Roman" w:hAnsi="Times New Roman"/>
                <w:b w:val="false"/>
                <w:bCs w:val="false"/>
                <w:sz w:val="17"/>
                <w:szCs w:val="17"/>
              </w:rPr>
              <w:t xml:space="preserve">545,33</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right"/>
            </w:pPr>
            <w:r>
              <w:rPr>
                <w:rFonts w:ascii="Times New Roman" w:cs="Times New Roman" w:eastAsia="Times New Roman" w:hAnsi="Times New Roman"/>
                <w:b w:val="false"/>
                <w:bCs w:val="false"/>
                <w:sz w:val="17"/>
                <w:szCs w:val="17"/>
              </w:rPr>
              <w:t xml:space="preserve">5,45 %</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right"/>
            </w:pPr>
            <w:r>
              <w:rPr>
                <w:rFonts w:ascii="Times New Roman" w:cs="Times New Roman" w:eastAsia="Times New Roman" w:hAnsi="Times New Roman"/>
                <w:b w:val="false"/>
                <w:bCs w:val="false"/>
                <w:sz w:val="17"/>
                <w:szCs w:val="17"/>
              </w:rPr>
              <w:t xml:space="preserve">65</w:t>
            </w:r>
          </w:p>
        </w:tc>
      </w:tr>
      <w:tr>
        <w:trPr>
          <w:cantSplit/>
        </w:trPr>
        <w:tc>
          <w:tcPr>
            <w:tcW w:type="dxa" w:w="22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17"/>
                <w:szCs w:val="17"/>
              </w:rPr>
              <w:t xml:space="preserve">Comprar y mantener</w:t>
            </w:r>
          </w:p>
        </w:tc>
        <w:tc>
          <w:tcPr>
            <w:tcW w:type="dxa" w:w="11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right"/>
            </w:pPr>
            <w:r>
              <w:rPr>
                <w:rFonts w:ascii="Times New Roman" w:cs="Times New Roman" w:eastAsia="Times New Roman" w:hAnsi="Times New Roman"/>
                <w:b w:val="false"/>
                <w:bCs w:val="false"/>
                <w:sz w:val="17"/>
                <w:szCs w:val="17"/>
              </w:rPr>
              <w:t xml:space="preserve">10.585,83</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right"/>
            </w:pPr>
            <w:r>
              <w:rPr>
                <w:rFonts w:ascii="Times New Roman" w:cs="Times New Roman" w:eastAsia="Times New Roman" w:hAnsi="Times New Roman"/>
                <w:b w:val="false"/>
                <w:bCs w:val="false"/>
                <w:sz w:val="17"/>
                <w:szCs w:val="17"/>
              </w:rPr>
              <w:t xml:space="preserve">+5,86 %</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right"/>
            </w:pPr>
            <w:r>
              <w:rPr>
                <w:rFonts w:ascii="Times New Roman" w:cs="Times New Roman" w:eastAsia="Times New Roman" w:hAnsi="Times New Roman"/>
                <w:b w:val="false"/>
                <w:bCs w:val="false"/>
                <w:sz w:val="17"/>
                <w:szCs w:val="17"/>
              </w:rPr>
              <w:t xml:space="preserve">−54,83 %</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right"/>
            </w:pPr>
            <w:r>
              <w:rPr>
                <w:rFonts w:ascii="Times New Roman" w:cs="Times New Roman" w:eastAsia="Times New Roman" w:hAnsi="Times New Roman"/>
                <w:b w:val="false"/>
                <w:bCs w:val="false"/>
                <w:sz w:val="17"/>
                <w:szCs w:val="17"/>
              </w:rPr>
              <w:t xml:space="preserve">9,99</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right"/>
            </w:pPr>
            <w:r>
              <w:rPr>
                <w:rFonts w:ascii="Times New Roman" w:cs="Times New Roman" w:eastAsia="Times New Roman" w:hAnsi="Times New Roman"/>
                <w:b w:val="false"/>
                <w:bCs w:val="false"/>
                <w:sz w:val="17"/>
                <w:szCs w:val="17"/>
              </w:rPr>
              <w:t xml:space="preserve">0,10 %</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right"/>
            </w:pPr>
            <w:r>
              <w:rPr>
                <w:rFonts w:ascii="Times New Roman" w:cs="Times New Roman" w:eastAsia="Times New Roman" w:hAnsi="Times New Roman"/>
                <w:b w:val="false"/>
                <w:bCs w:val="false"/>
                <w:sz w:val="17"/>
                <w:szCs w:val="17"/>
              </w:rPr>
              <w:t xml:space="preserve">1</w:t>
            </w:r>
          </w:p>
        </w:tc>
      </w:tr>
      <w:tr>
        <w:trPr>
          <w:cantSplit/>
        </w:trPr>
        <w:tc>
          <w:tcPr>
            <w:tcW w:type="dxa" w:w="22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17"/>
                <w:szCs w:val="17"/>
              </w:rPr>
              <w:t xml:space="preserve">Constante 50 %</w:t>
            </w:r>
          </w:p>
        </w:tc>
        <w:tc>
          <w:tcPr>
            <w:tcW w:type="dxa" w:w="11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right"/>
            </w:pPr>
            <w:r>
              <w:rPr>
                <w:rFonts w:ascii="Times New Roman" w:cs="Times New Roman" w:eastAsia="Times New Roman" w:hAnsi="Times New Roman"/>
                <w:b w:val="false"/>
                <w:bCs w:val="false"/>
                <w:sz w:val="17"/>
                <w:szCs w:val="17"/>
              </w:rPr>
              <w:t xml:space="preserve">11.210,62</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right"/>
            </w:pPr>
            <w:r>
              <w:rPr>
                <w:rFonts w:ascii="Times New Roman" w:cs="Times New Roman" w:eastAsia="Times New Roman" w:hAnsi="Times New Roman"/>
                <w:b w:val="false"/>
                <w:bCs w:val="false"/>
                <w:sz w:val="17"/>
                <w:szCs w:val="17"/>
              </w:rPr>
              <w:t xml:space="preserve">+12,11 %</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right"/>
            </w:pPr>
            <w:r>
              <w:rPr>
                <w:rFonts w:ascii="Times New Roman" w:cs="Times New Roman" w:eastAsia="Times New Roman" w:hAnsi="Times New Roman"/>
                <w:b w:val="false"/>
                <w:bCs w:val="false"/>
                <w:sz w:val="17"/>
                <w:szCs w:val="17"/>
              </w:rPr>
              <w:t xml:space="preserve">−31,03 %</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right"/>
            </w:pPr>
            <w:r>
              <w:rPr>
                <w:rFonts w:ascii="Times New Roman" w:cs="Times New Roman" w:eastAsia="Times New Roman" w:hAnsi="Times New Roman"/>
                <w:b w:val="false"/>
                <w:bCs w:val="false"/>
                <w:sz w:val="17"/>
                <w:szCs w:val="17"/>
              </w:rPr>
              <w:t xml:space="preserve">168,85</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right"/>
            </w:pPr>
            <w:r>
              <w:rPr>
                <w:rFonts w:ascii="Times New Roman" w:cs="Times New Roman" w:eastAsia="Times New Roman" w:hAnsi="Times New Roman"/>
                <w:b w:val="false"/>
                <w:bCs w:val="false"/>
                <w:sz w:val="17"/>
                <w:szCs w:val="17"/>
              </w:rPr>
              <w:t xml:space="preserve">1,69 %</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right"/>
            </w:pPr>
            <w:r>
              <w:rPr>
                <w:rFonts w:ascii="Times New Roman" w:cs="Times New Roman" w:eastAsia="Times New Roman" w:hAnsi="Times New Roman"/>
                <w:b w:val="false"/>
                <w:bCs w:val="false"/>
                <w:sz w:val="17"/>
                <w:szCs w:val="17"/>
              </w:rPr>
              <w:t xml:space="preserve">1</w:t>
            </w:r>
          </w:p>
        </w:tc>
      </w:tr>
      <w:tr>
        <w:trPr>
          <w:cantSplit/>
        </w:trPr>
        <w:tc>
          <w:tcPr>
            <w:tcW w:type="dxa" w:w="22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17"/>
                <w:szCs w:val="17"/>
              </w:rPr>
              <w:t xml:space="preserve">Aleatorio, mediana de 100 semillas</w:t>
            </w:r>
          </w:p>
        </w:tc>
        <w:tc>
          <w:tcPr>
            <w:tcW w:type="dxa" w:w="11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right"/>
            </w:pPr>
            <w:r>
              <w:rPr>
                <w:rFonts w:ascii="Times New Roman" w:cs="Times New Roman" w:eastAsia="Times New Roman" w:hAnsi="Times New Roman"/>
                <w:b w:val="false"/>
                <w:bCs w:val="false"/>
                <w:sz w:val="17"/>
                <w:szCs w:val="17"/>
              </w:rPr>
              <w:t xml:space="preserve">121,31</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right"/>
            </w:pPr>
            <w:r>
              <w:rPr>
                <w:rFonts w:ascii="Times New Roman" w:cs="Times New Roman" w:eastAsia="Times New Roman" w:hAnsi="Times New Roman"/>
                <w:b w:val="false"/>
                <w:bCs w:val="false"/>
                <w:sz w:val="17"/>
                <w:szCs w:val="17"/>
              </w:rPr>
              <w:t xml:space="preserve">−98,79 %</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right"/>
            </w:pPr>
            <w:r>
              <w:rPr>
                <w:rFonts w:ascii="Times New Roman" w:cs="Times New Roman" w:eastAsia="Times New Roman" w:hAnsi="Times New Roman"/>
                <w:b w:val="false"/>
                <w:bCs w:val="false"/>
                <w:sz w:val="17"/>
                <w:szCs w:val="17"/>
              </w:rPr>
              <w:t xml:space="preserve">−98,89 %</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right"/>
            </w:pPr>
            <w:r>
              <w:rPr>
                <w:rFonts w:ascii="Times New Roman" w:cs="Times New Roman" w:eastAsia="Times New Roman" w:hAnsi="Times New Roman"/>
                <w:b w:val="false"/>
                <w:bCs w:val="false"/>
                <w:sz w:val="17"/>
                <w:szCs w:val="17"/>
              </w:rPr>
              <w:t xml:space="preserve">10.483,17</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right"/>
            </w:pPr>
            <w:r>
              <w:rPr>
                <w:rFonts w:ascii="Times New Roman" w:cs="Times New Roman" w:eastAsia="Times New Roman" w:hAnsi="Times New Roman"/>
                <w:b w:val="false"/>
                <w:bCs w:val="false"/>
                <w:sz w:val="17"/>
                <w:szCs w:val="17"/>
              </w:rPr>
              <w:t xml:space="preserve">104,83 %</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right"/>
            </w:pPr>
            <w:r>
              <w:rPr>
                <w:rFonts w:ascii="Times New Roman" w:cs="Times New Roman" w:eastAsia="Times New Roman" w:hAnsi="Times New Roman"/>
                <w:b w:val="false"/>
                <w:bCs w:val="false"/>
                <w:sz w:val="17"/>
                <w:szCs w:val="17"/>
              </w:rPr>
              <w:t xml:space="preserve">6.653</w:t>
            </w:r>
          </w:p>
        </w:tc>
      </w:tr>
      <w:tr>
        <w:trPr>
          <w:cantSplit/>
        </w:trPr>
        <w:tc>
          <w:tcPr>
            <w:tcW w:type="dxa" w:w="22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17"/>
                <w:szCs w:val="17"/>
              </w:rPr>
              <w:t xml:space="preserve">Aleatorio, percentil 5 a 95</w:t>
            </w:r>
          </w:p>
        </w:tc>
        <w:tc>
          <w:tcPr>
            <w:tcW w:type="dxa" w:w="11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right"/>
            </w:pPr>
            <w:r>
              <w:rPr>
                <w:rFonts w:ascii="Times New Roman" w:cs="Times New Roman" w:eastAsia="Times New Roman" w:hAnsi="Times New Roman"/>
                <w:b w:val="false"/>
                <w:bCs w:val="false"/>
                <w:sz w:val="17"/>
                <w:szCs w:val="17"/>
              </w:rPr>
              <w:t xml:space="preserve">66 a 205</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right"/>
            </w:pPr>
            <w:r>
              <w:rPr>
                <w:rFonts w:ascii="Times New Roman" w:cs="Times New Roman" w:eastAsia="Times New Roman" w:hAnsi="Times New Roman"/>
                <w:b w:val="false"/>
                <w:bCs w:val="false"/>
                <w:sz w:val="17"/>
                <w:szCs w:val="17"/>
              </w:rPr>
              <w:t xml:space="preserve">−99,34 a −97,95 %</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right"/>
            </w:pPr>
            <w:r>
              <w:rPr>
                <w:rFonts w:ascii="Times New Roman" w:cs="Times New Roman" w:eastAsia="Times New Roman" w:hAnsi="Times New Roman"/>
                <w:b w:val="false"/>
                <w:bCs w:val="false"/>
                <w:sz w:val="17"/>
                <w:szCs w:val="17"/>
              </w:rPr>
              <w:t xml:space="preserve">−99,39 a −98,09 %</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right"/>
            </w:pPr>
            <w:r>
              <w:rPr>
                <w:rFonts w:ascii="Times New Roman" w:cs="Times New Roman" w:eastAsia="Times New Roman" w:hAnsi="Times New Roman"/>
                <w:b w:val="false"/>
                <w:bCs w:val="false"/>
                <w:sz w:val="17"/>
                <w:szCs w:val="17"/>
              </w:rPr>
              <w:t xml:space="preserve">8.442 a 13.620</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right"/>
            </w:pPr>
            <w:r>
              <w:rPr>
                <w:rFonts w:ascii="Times New Roman" w:cs="Times New Roman" w:eastAsia="Times New Roman" w:hAnsi="Times New Roman"/>
                <w:b w:val="false"/>
                <w:bCs w:val="false"/>
                <w:sz w:val="17"/>
                <w:szCs w:val="17"/>
              </w:rPr>
              <w:t xml:space="preserve">84 a 136 %</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right"/>
            </w:pPr>
            <w:r>
              <w:rPr>
                <w:rFonts w:ascii="Times New Roman" w:cs="Times New Roman" w:eastAsia="Times New Roman" w:hAnsi="Times New Roman"/>
                <w:b w:val="false"/>
                <w:bCs w:val="false"/>
                <w:sz w:val="17"/>
                <w:szCs w:val="17"/>
              </w:rPr>
              <w:t xml:space="preserve">6.578 a 6.736</w:t>
            </w:r>
          </w:p>
        </w:tc>
      </w:tr>
    </w:tbl>
    <w:p>
      <w:pPr>
        <w:spacing w:after="120"/>
      </w:pPr>
    </w:p>
    <w:p>
      <w:pPr>
        <w:spacing w:after="140" w:line="300"/>
        <w:jc w:val="both"/>
      </w:pPr>
      <w:r>
        <w:rPr>
          <w:rFonts w:ascii="Times New Roman" w:cs="Times New Roman" w:eastAsia="Times New Roman" w:hAnsi="Times New Roman"/>
        </w:rPr>
        <w:t xml:space="preserve">Las medianas se calculan columna por columna, así que una fila de mediana no corresponde necesariamente a una sola semilla.</w:t>
      </w:r>
    </w:p>
    <w:p>
      <w:pPr>
        <w:spacing w:after="140" w:line="300"/>
        <w:jc w:val="both"/>
      </w:pPr>
      <w:r>
        <w:rPr>
          <w:rFonts w:ascii="Times New Roman" w:cs="Times New Roman" w:eastAsia="Times New Roman" w:hAnsi="Times New Roman"/>
          <w:b/>
          <w:bCs/>
        </w:rPr>
        <w:t xml:space="preserve">Interpretación.</w:t>
      </w:r>
      <w:r>
        <w:rPr>
          <w:rFonts w:ascii="Times New Roman" w:cs="Times New Roman" w:eastAsia="Times New Roman" w:hAnsi="Times New Roman"/>
        </w:rPr>
        <w:t xml:space="preserve"> El agente terminó con −8,91 %, unos 15 puntos por debajo de comprar y mantener. Su drawdown fue casi el mismo (−55,20 % frente a −54,83 %) porque estuvo al 100 % el 75 % de las horas, y pagó 42 veces más en comisiones (425,68 USD frente a 9,99). La mejor estrategia fue la más simple de todas: mantener siempre el 50 % ganó 12,11 % con un drawdown de −31,03 %. En un periodo que subió y bajó con fuerza, rebalancear a la mitad redujo el riesgo sin sacrificar retorno. El agente aleatorio terminó con 121 USD: sus 6.653 cambios de exposición costaron 10.483 USD, más que el capital inicial, lo cual es posible porque la comisión se cobra una y otra vez sobre un capital que va bajando. El agente sí aprendió a no operar de más, pero eso solo le alcanza para ganarle al azar, no a las estrategias simples.</w:t>
      </w:r>
    </w:p>
    <w:p>
      <w:pPr>
        <w:pStyle w:val="Heading2"/>
        <w:keepNext/>
      </w:pPr>
      <w:r>
        <w:rPr>
          <w:rFonts w:ascii="Times New Roman" w:cs="Times New Roman" w:eastAsia="Times New Roman" w:hAnsi="Times New Roman"/>
        </w:rPr>
        <w:t xml:space="preserve">10.3. Curva de capital</w:t>
      </w:r>
    </w:p>
    <w:p>
      <w:pPr>
        <w:keepNext/>
        <w:spacing w:after="40" w:before="160"/>
      </w:pPr>
      <w:r>
        <w:rPr>
          <w:rFonts w:ascii="Times New Roman" w:cs="Times New Roman" w:eastAsia="Times New Roman" w:hAnsi="Times New Roman"/>
          <w:b/>
          <w:bCs/>
        </w:rPr>
        <w:t xml:space="preserve">Figura 6</w:t>
      </w:r>
    </w:p>
    <w:p>
      <w:pPr>
        <w:keepNext/>
        <w:spacing w:after="100"/>
      </w:pPr>
      <w:r>
        <w:rPr>
          <w:rFonts w:ascii="Times New Roman" w:cs="Times New Roman" w:eastAsia="Times New Roman" w:hAnsi="Times New Roman"/>
          <w:i/>
          <w:iCs/>
        </w:rPr>
        <w:t xml:space="preserve">Curva de capital en el periodo de prueba</w:t>
      </w:r>
    </w:p>
    <w:p>
      <w:pPr>
        <w:keepNext/>
        <w:spacing w:after="60"/>
        <w:jc w:val="center"/>
      </w:pPr>
      <w:r>
        <w:drawing>
          <wp:inline distT="0" distB="0" distL="0" distR="0">
            <wp:extent cx="5524500" cy="2895600"/>
            <wp:effectExtent t="0" r="0" b="0" l="0"/>
            <wp:docPr id="6" name="figura6" descr="Curva de capital en el periodo de prueba" title="Curva de capital en el periodo de prue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24500" cy="2895600"/>
                    </a:xfrm>
                    <a:prstGeom prst="rect">
                      <a:avLst/>
                    </a:prstGeom>
                  </pic:spPr>
                </pic:pic>
              </a:graphicData>
            </a:graphic>
          </wp:inline>
        </w:drawing>
      </w:r>
    </w:p>
    <w:p>
      <w:pPr>
        <w:spacing w:after="180"/>
        <w:jc w:val="both"/>
      </w:pPr>
      <w:r>
        <w:rPr>
          <w:rFonts w:ascii="Times New Roman" w:cs="Times New Roman" w:eastAsia="Times New Roman" w:hAnsi="Times New Roman"/>
          <w:i/>
          <w:iCs/>
          <w:sz w:val="19"/>
          <w:szCs w:val="19"/>
        </w:rPr>
        <w:t xml:space="preserve">Nota.</w:t>
      </w:r>
      <w:r>
        <w:rPr>
          <w:rFonts w:ascii="Times New Roman" w:cs="Times New Roman" w:eastAsia="Times New Roman" w:hAnsi="Times New Roman"/>
          <w:sz w:val="19"/>
          <w:szCs w:val="19"/>
        </w:rPr>
        <w:t xml:space="preserve"> Las líneas azul claro son las otras cuatro semillas del mismo agente. La línea gris horizontal es el capital inicial.</w:t>
      </w:r>
    </w:p>
    <w:p>
      <w:pPr>
        <w:spacing w:after="140" w:line="300"/>
        <w:jc w:val="both"/>
      </w:pPr>
      <w:r>
        <w:rPr>
          <w:rFonts w:ascii="Times New Roman" w:cs="Times New Roman" w:eastAsia="Times New Roman" w:hAnsi="Times New Roman"/>
        </w:rPr>
        <w:t xml:space="preserve">El agente sigue de cerca a comprar y mantener y se separa por sus pocos cambios de exposición. En enero de 2021 bajó al 50 % durante una caída y quedó 6 % arriba de comprar y mantener. Del 24 de febrero al 23 de abril se quedó en 50 % mientras BTC subía 27 % en marzo, y perdió esa ventaja. En mayo de 2021, durante el desplome, cambió de exposición 29 veces y perdió 45 % frente a 36 % del mercado: fue el mes en que más se alejó hacia abajo. Desde julio quedó casi fijo en 100 %. El 24 de febrero de 2022 bajó a 50 % justo antes de la subida final del periodo.</w:t>
      </w:r>
    </w:p>
    <w:p>
      <w:pPr>
        <w:pStyle w:val="Heading2"/>
        <w:keepNext/>
      </w:pPr>
      <w:r>
        <w:rPr>
          <w:rFonts w:ascii="Times New Roman" w:cs="Times New Roman" w:eastAsia="Times New Roman" w:hAnsi="Times New Roman"/>
        </w:rPr>
        <w:t xml:space="preserve">10.4. Máximo drawdown</w:t>
      </w:r>
    </w:p>
    <w:p>
      <w:pPr>
        <w:keepNext/>
        <w:spacing w:after="40" w:before="160"/>
      </w:pPr>
      <w:r>
        <w:rPr>
          <w:rFonts w:ascii="Times New Roman" w:cs="Times New Roman" w:eastAsia="Times New Roman" w:hAnsi="Times New Roman"/>
          <w:b/>
          <w:bCs/>
        </w:rPr>
        <w:t xml:space="preserve">Figura 7</w:t>
      </w:r>
    </w:p>
    <w:p>
      <w:pPr>
        <w:keepNext/>
        <w:spacing w:after="100"/>
      </w:pPr>
      <w:r>
        <w:rPr>
          <w:rFonts w:ascii="Times New Roman" w:cs="Times New Roman" w:eastAsia="Times New Roman" w:hAnsi="Times New Roman"/>
          <w:i/>
          <w:iCs/>
        </w:rPr>
        <w:t xml:space="preserve">Drawdown en el periodo de prueba</w:t>
      </w:r>
    </w:p>
    <w:p>
      <w:pPr>
        <w:keepNext w:val="false"/>
        <w:spacing w:after="60"/>
        <w:jc w:val="center"/>
      </w:pPr>
      <w:r>
        <w:drawing>
          <wp:inline distT="0" distB="0" distL="0" distR="0">
            <wp:extent cx="5524500" cy="2314575"/>
            <wp:effectExtent t="0" r="0" b="0" l="0"/>
            <wp:docPr id="7" name="figura7" descr="Drawdown en el periodo de prueba" title="Drawdown en el periodo de prue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524500" cy="2314575"/>
                    </a:xfrm>
                    <a:prstGeom prst="rect">
                      <a:avLst/>
                    </a:prstGeom>
                  </pic:spPr>
                </pic:pic>
              </a:graphicData>
            </a:graphic>
          </wp:inline>
        </w:drawing>
      </w:r>
    </w:p>
    <w:p>
      <w:pPr>
        <w:spacing w:after="140" w:line="300"/>
        <w:jc w:val="both"/>
      </w:pPr>
      <w:r>
        <w:rPr>
          <w:rFonts w:ascii="Times New Roman" w:cs="Times New Roman" w:eastAsia="Times New Roman" w:hAnsi="Times New Roman"/>
        </w:rPr>
        <w:t xml:space="preserve">El agente y comprar y mantener comparten casi la misma curva de caídas porque la mayor parte del tiempo tienen la misma exposición. El peor punto de comprar y mantener llega el 22 de junio de 2021, desde el máximo del 14 de abril; el del agente llega el 20 de julio. Mantener el 50 % reduce la caída máxima de −55 % a −31 %. El agente no aprendió a protegerse en las caídas: en la más fuerte del periodo, la de mayo de 2021, operó más y perdió más.</w:t>
      </w:r>
    </w:p>
    <w:p>
      <w:pPr>
        <w:pStyle w:val="Heading2"/>
        <w:keepNext/>
      </w:pPr>
      <w:r>
        <w:rPr>
          <w:rFonts w:ascii="Times New Roman" w:cs="Times New Roman" w:eastAsia="Times New Roman" w:hAnsi="Times New Roman"/>
        </w:rPr>
        <w:t xml:space="preserve">10.5. Costos de transacción</w:t>
      </w:r>
    </w:p>
    <w:p>
      <w:pPr>
        <w:keepNext/>
        <w:spacing w:after="40" w:before="160"/>
      </w:pPr>
      <w:r>
        <w:rPr>
          <w:rFonts w:ascii="Times New Roman" w:cs="Times New Roman" w:eastAsia="Times New Roman" w:hAnsi="Times New Roman"/>
          <w:b/>
          <w:bCs/>
        </w:rPr>
        <w:t xml:space="preserve">Figura 8</w:t>
      </w:r>
    </w:p>
    <w:p>
      <w:pPr>
        <w:keepNext/>
        <w:spacing w:after="100"/>
      </w:pPr>
      <w:r>
        <w:rPr>
          <w:rFonts w:ascii="Times New Roman" w:cs="Times New Roman" w:eastAsia="Times New Roman" w:hAnsi="Times New Roman"/>
          <w:i/>
          <w:iCs/>
        </w:rPr>
        <w:t xml:space="preserve">Costos de transacción pagados en el periodo de prueba</w:t>
      </w:r>
    </w:p>
    <w:p>
      <w:pPr>
        <w:keepNext/>
        <w:spacing w:after="60"/>
        <w:jc w:val="center"/>
      </w:pPr>
      <w:r>
        <w:drawing>
          <wp:inline distT="0" distB="0" distL="0" distR="0">
            <wp:extent cx="5524500" cy="2028825"/>
            <wp:effectExtent t="0" r="0" b="0" l="0"/>
            <wp:docPr id="8" name="figura8" descr="Costos de transacción pagados en el periodo de prueba" title="Costos de transacción pagados en el periodo de prue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524500" cy="2028825"/>
                    </a:xfrm>
                    <a:prstGeom prst="rect">
                      <a:avLst/>
                    </a:prstGeom>
                  </pic:spPr>
                </pic:pic>
              </a:graphicData>
            </a:graphic>
          </wp:inline>
        </w:drawing>
      </w:r>
    </w:p>
    <w:p>
      <w:pPr>
        <w:spacing w:after="180"/>
        <w:jc w:val="both"/>
      </w:pPr>
      <w:r>
        <w:rPr>
          <w:rFonts w:ascii="Times New Roman" w:cs="Times New Roman" w:eastAsia="Times New Roman" w:hAnsi="Times New Roman"/>
          <w:i/>
          <w:iCs/>
          <w:sz w:val="19"/>
          <w:szCs w:val="19"/>
        </w:rPr>
        <w:t xml:space="preserve">Nota.</w:t>
      </w:r>
      <w:r>
        <w:rPr>
          <w:rFonts w:ascii="Times New Roman" w:cs="Times New Roman" w:eastAsia="Times New Roman" w:hAnsi="Times New Roman"/>
          <w:sz w:val="19"/>
          <w:szCs w:val="19"/>
        </w:rPr>
        <w:t xml:space="preserve"> Escala logarítmica: cada marca vale diez veces la anterior.</w:t>
      </w:r>
    </w:p>
    <w:p>
      <w:pPr>
        <w:spacing w:after="140" w:line="300"/>
        <w:jc w:val="both"/>
      </w:pPr>
      <w:r>
        <w:rPr>
          <w:rFonts w:ascii="Times New Roman" w:cs="Times New Roman" w:eastAsia="Times New Roman" w:hAnsi="Times New Roman"/>
        </w:rPr>
        <w:t xml:space="preserve">Los costos ordenan las estrategias de forma clara: una sola compra (comprar y mantener), rebalanceos pequeños (constante 50 %), unas decenas de cambios (agente) y miles de cambios (aleatorio). Con 0,1 % por operación, el aleatorio pierde todo en comisiones; el agente paga entre 2,5 % y 10,5 % del capital según la semilla. Ningún cambio de exposición del agente generó suficiente ganancia para pagar su costo.</w:t>
      </w:r>
    </w:p>
    <w:p>
      <w:pPr>
        <w:pStyle w:val="Heading2"/>
        <w:keepNext/>
      </w:pPr>
      <w:r>
        <w:rPr>
          <w:rFonts w:ascii="Times New Roman" w:cs="Times New Roman" w:eastAsia="Times New Roman" w:hAnsi="Times New Roman"/>
        </w:rPr>
        <w:t xml:space="preserve">10.6. Evolución de las posiciones</w:t>
      </w:r>
    </w:p>
    <w:p>
      <w:pPr>
        <w:keepNext/>
        <w:spacing w:after="40" w:before="160"/>
      </w:pPr>
      <w:r>
        <w:rPr>
          <w:rFonts w:ascii="Times New Roman" w:cs="Times New Roman" w:eastAsia="Times New Roman" w:hAnsi="Times New Roman"/>
          <w:b/>
          <w:bCs/>
        </w:rPr>
        <w:t xml:space="preserve">Figura 9</w:t>
      </w:r>
    </w:p>
    <w:p>
      <w:pPr>
        <w:keepNext/>
        <w:spacing w:after="100"/>
      </w:pPr>
      <w:r>
        <w:rPr>
          <w:rFonts w:ascii="Times New Roman" w:cs="Times New Roman" w:eastAsia="Times New Roman" w:hAnsi="Times New Roman"/>
          <w:i/>
          <w:iCs/>
        </w:rPr>
        <w:t xml:space="preserve">Exposición elegida por el agente final en el periodo de prueba</w:t>
      </w:r>
    </w:p>
    <w:p>
      <w:pPr>
        <w:keepNext w:val="false"/>
        <w:spacing w:after="60"/>
        <w:jc w:val="center"/>
      </w:pPr>
      <w:r>
        <w:drawing>
          <wp:inline distT="0" distB="0" distL="0" distR="0">
            <wp:extent cx="5524500" cy="2762250"/>
            <wp:effectExtent t="0" r="0" b="0" l="0"/>
            <wp:docPr id="9" name="figura9" descr="Exposición elegida por el agente final en el periodo de prueba" title="Exposición elegida por el agente final en el periodo de prue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524500" cy="2762250"/>
                    </a:xfrm>
                    <a:prstGeom prst="rect">
                      <a:avLst/>
                    </a:prstGeom>
                  </pic:spPr>
                </pic:pic>
              </a:graphicData>
            </a:graphic>
          </wp:inline>
        </w:drawing>
      </w:r>
    </w:p>
    <w:p>
      <w:pPr>
        <w:spacing w:after="140" w:line="300"/>
        <w:jc w:val="both"/>
      </w:pPr>
      <w:r>
        <w:rPr>
          <w:rFonts w:ascii="Times New Roman" w:cs="Times New Roman" w:eastAsia="Times New Roman" w:hAnsi="Times New Roman"/>
        </w:rPr>
        <w:t xml:space="preserve">La exposición del agente casi no responde al mercado, sino a su propia posición: una vez que llega a un nivel, tiende a quedarse ahí. Estuvo al 100 % el 75,3 % de las horas, al 50 % el 22,9 % y en efectivo el 1,8 %. Los cambios se concentran en los momentos de más volatilidad (enero y mayo de 2021), cuando los indicadores toman valores extremos, y no se tradujeron en ganancias.</w:t>
      </w:r>
    </w:p>
    <w:p>
      <w:pPr>
        <w:pStyle w:val="Heading2"/>
        <w:keepNext/>
      </w:pPr>
      <w:r>
        <w:rPr>
          <w:rFonts w:ascii="Times New Roman" w:cs="Times New Roman" w:eastAsia="Times New Roman" w:hAnsi="Times New Roman"/>
        </w:rPr>
        <w:t xml:space="preserve">10.7. Variación entre semillas</w:t>
      </w:r>
    </w:p>
    <w:p>
      <w:pPr>
        <w:keepNext/>
        <w:spacing w:after="40" w:before="160"/>
      </w:pPr>
      <w:r>
        <w:rPr>
          <w:rFonts w:ascii="Times New Roman" w:cs="Times New Roman" w:eastAsia="Times New Roman" w:hAnsi="Times New Roman"/>
          <w:b/>
          <w:bCs/>
        </w:rPr>
        <w:t xml:space="preserve">Tabla 12</w:t>
      </w:r>
    </w:p>
    <w:p>
      <w:pPr>
        <w:keepNext/>
        <w:spacing w:after="100"/>
      </w:pPr>
      <w:r>
        <w:rPr>
          <w:rFonts w:ascii="Times New Roman" w:cs="Times New Roman" w:eastAsia="Times New Roman" w:hAnsi="Times New Roman"/>
          <w:i/>
          <w:iCs/>
        </w:rPr>
        <w:t xml:space="preserve">Agente elegido (R1 sin escalar) en la prueba, por semilla</w:t>
      </w:r>
    </w:p>
    <w:tbl>
      <w:tblPr>
        <w:tblW w:type="dxa" w:w="8838"/>
        <w:tblBorders>
          <w:top w:val="single" w:color="auto" w:sz="4"/>
          <w:left w:val="single" w:color="auto" w:sz="4"/>
          <w:bottom w:val="single" w:color="auto" w:sz="4"/>
          <w:right w:val="single" w:color="auto" w:sz="4"/>
          <w:insideH w:val="single" w:color="auto" w:sz="4"/>
          <w:insideV w:val="single" w:color="auto" w:sz="4"/>
        </w:tblBorders>
      </w:tblPr>
      <w:tblGrid>
        <w:gridCol w:w="1438"/>
        <w:gridCol w:w="1200"/>
        <w:gridCol w:w="1300"/>
        <w:gridCol w:w="1200"/>
        <w:gridCol w:w="1000"/>
        <w:gridCol w:w="1300"/>
        <w:gridCol w:w="1400"/>
      </w:tblGrid>
      <w:tr>
        <w:trPr>
          <w:tblHeader/>
        </w:trPr>
        <w:tc>
          <w:tcPr>
            <w:tcW w:type="dxa" w:w="1438"/>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19"/>
                <w:szCs w:val="19"/>
              </w:rPr>
              <w:t xml:space="preserve">Semilla</w:t>
            </w:r>
          </w:p>
        </w:tc>
        <w:tc>
          <w:tcPr>
            <w:tcW w:type="dxa" w:w="1200"/>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19"/>
                <w:szCs w:val="19"/>
              </w:rPr>
              <w:t xml:space="preserve">Retorno</w:t>
            </w:r>
          </w:p>
        </w:tc>
        <w:tc>
          <w:tcPr>
            <w:tcW w:type="dxa" w:w="1300"/>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19"/>
                <w:szCs w:val="19"/>
              </w:rPr>
              <w:t xml:space="preserve">Máx. drawdown</w:t>
            </w:r>
          </w:p>
        </w:tc>
        <w:tc>
          <w:tcPr>
            <w:tcW w:type="dxa" w:w="1200"/>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19"/>
                <w:szCs w:val="19"/>
              </w:rPr>
              <w:t xml:space="preserve">Costos (USD)</w:t>
            </w:r>
          </w:p>
        </w:tc>
        <w:tc>
          <w:tcPr>
            <w:tcW w:type="dxa" w:w="1000"/>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19"/>
                <w:szCs w:val="19"/>
              </w:rPr>
              <w:t xml:space="preserve">Cambios</w:t>
            </w:r>
          </w:p>
        </w:tc>
        <w:tc>
          <w:tcPr>
            <w:tcW w:type="dxa" w:w="1300"/>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19"/>
                <w:szCs w:val="19"/>
              </w:rPr>
              <w:t xml:space="preserve">Exposición media</w:t>
            </w:r>
          </w:p>
        </w:tc>
        <w:tc>
          <w:tcPr>
            <w:tcW w:type="dxa" w:w="1400"/>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19"/>
                <w:szCs w:val="19"/>
              </w:rPr>
              <w:t xml:space="preserve">Retorno en validación</w:t>
            </w:r>
          </w:p>
        </w:tc>
      </w:tr>
      <w:tr>
        <w:trPr>
          <w:cantSplit/>
        </w:trPr>
        <w:tc>
          <w:tcPr>
            <w:tcW w:type="dxa" w:w="14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19"/>
                <w:szCs w:val="19"/>
              </w:rPr>
              <w:t xml:space="preserve">42</w:t>
            </w:r>
          </w:p>
        </w:tc>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right"/>
            </w:pPr>
            <w:r>
              <w:rPr>
                <w:rFonts w:ascii="Times New Roman" w:cs="Times New Roman" w:eastAsia="Times New Roman" w:hAnsi="Times New Roman"/>
                <w:b w:val="false"/>
                <w:bCs w:val="false"/>
                <w:sz w:val="19"/>
                <w:szCs w:val="19"/>
              </w:rPr>
              <w:t xml:space="preserve">+5,67 %</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right"/>
            </w:pPr>
            <w:r>
              <w:rPr>
                <w:rFonts w:ascii="Times New Roman" w:cs="Times New Roman" w:eastAsia="Times New Roman" w:hAnsi="Times New Roman"/>
                <w:b w:val="false"/>
                <w:bCs w:val="false"/>
                <w:sz w:val="19"/>
                <w:szCs w:val="19"/>
              </w:rPr>
              <w:t xml:space="preserve">−32,19 %</w:t>
            </w:r>
          </w:p>
        </w:tc>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right"/>
            </w:pPr>
            <w:r>
              <w:rPr>
                <w:rFonts w:ascii="Times New Roman" w:cs="Times New Roman" w:eastAsia="Times New Roman" w:hAnsi="Times New Roman"/>
                <w:b w:val="false"/>
                <w:bCs w:val="false"/>
                <w:sz w:val="19"/>
                <w:szCs w:val="19"/>
              </w:rPr>
              <w:t xml:space="preserve">1.048,42</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right"/>
            </w:pPr>
            <w:r>
              <w:rPr>
                <w:rFonts w:ascii="Times New Roman" w:cs="Times New Roman" w:eastAsia="Times New Roman" w:hAnsi="Times New Roman"/>
                <w:b w:val="false"/>
                <w:bCs w:val="false"/>
                <w:sz w:val="19"/>
                <w:szCs w:val="19"/>
              </w:rPr>
              <w:t xml:space="preserve">183</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right"/>
            </w:pPr>
            <w:r>
              <w:rPr>
                <w:rFonts w:ascii="Times New Roman" w:cs="Times New Roman" w:eastAsia="Times New Roman" w:hAnsi="Times New Roman"/>
                <w:b w:val="false"/>
                <w:bCs w:val="false"/>
                <w:sz w:val="19"/>
                <w:szCs w:val="19"/>
              </w:rPr>
              <w:t xml:space="preserve">50 %</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right"/>
            </w:pPr>
            <w:r>
              <w:rPr>
                <w:rFonts w:ascii="Times New Roman" w:cs="Times New Roman" w:eastAsia="Times New Roman" w:hAnsi="Times New Roman"/>
                <w:b w:val="false"/>
                <w:bCs w:val="false"/>
                <w:sz w:val="19"/>
                <w:szCs w:val="19"/>
              </w:rPr>
              <w:t xml:space="preserve">+113,82 %</w:t>
            </w:r>
          </w:p>
        </w:tc>
      </w:tr>
      <w:tr>
        <w:trPr>
          <w:cantSplit/>
        </w:trPr>
        <w:tc>
          <w:tcPr>
            <w:tcW w:type="dxa" w:w="1438"/>
            <w:tcBorders>
              <w:top w:val="single" w:color="A6A6A6" w:sz="4"/>
              <w:left w:val="single" w:color="A6A6A6" w:sz="4"/>
              <w:bottom w:val="single" w:color="A6A6A6" w:sz="4"/>
              <w:right w:val="single" w:color="A6A6A6" w:sz="4"/>
            </w:tcBorders>
            <w:shd w:fill="FFF4CC" w:color="auto" w:val="clear"/>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19"/>
                <w:szCs w:val="19"/>
              </w:rPr>
              <w:t xml:space="preserve">123 (típica)</w:t>
            </w:r>
          </w:p>
        </w:tc>
        <w:tc>
          <w:tcPr>
            <w:tcW w:type="dxa" w:w="1200"/>
            <w:tcBorders>
              <w:top w:val="single" w:color="A6A6A6" w:sz="4"/>
              <w:left w:val="single" w:color="A6A6A6" w:sz="4"/>
              <w:bottom w:val="single" w:color="A6A6A6" w:sz="4"/>
              <w:right w:val="single" w:color="A6A6A6" w:sz="4"/>
            </w:tcBorders>
            <w:shd w:fill="FFF4CC" w:color="auto" w:val="clear"/>
            <w:tcMar>
              <w:top w:type="dxa" w:w="50"/>
              <w:left w:type="dxa" w:w="90"/>
              <w:bottom w:type="dxa" w:w="50"/>
              <w:right w:type="dxa" w:w="90"/>
            </w:tcMar>
          </w:tcPr>
          <w:p>
            <w:pPr>
              <w:spacing w:after="0" w:line="250"/>
              <w:jc w:val="right"/>
            </w:pPr>
            <w:r>
              <w:rPr>
                <w:rFonts w:ascii="Times New Roman" w:cs="Times New Roman" w:eastAsia="Times New Roman" w:hAnsi="Times New Roman"/>
                <w:b w:val="false"/>
                <w:bCs w:val="false"/>
                <w:sz w:val="19"/>
                <w:szCs w:val="19"/>
              </w:rPr>
              <w:t xml:space="preserve">−8,91 %</w:t>
            </w:r>
          </w:p>
        </w:tc>
        <w:tc>
          <w:tcPr>
            <w:tcW w:type="dxa" w:w="1300"/>
            <w:tcBorders>
              <w:top w:val="single" w:color="A6A6A6" w:sz="4"/>
              <w:left w:val="single" w:color="A6A6A6" w:sz="4"/>
              <w:bottom w:val="single" w:color="A6A6A6" w:sz="4"/>
              <w:right w:val="single" w:color="A6A6A6" w:sz="4"/>
            </w:tcBorders>
            <w:shd w:fill="FFF4CC" w:color="auto" w:val="clear"/>
            <w:tcMar>
              <w:top w:type="dxa" w:w="50"/>
              <w:left w:type="dxa" w:w="90"/>
              <w:bottom w:type="dxa" w:w="50"/>
              <w:right w:type="dxa" w:w="90"/>
            </w:tcMar>
          </w:tcPr>
          <w:p>
            <w:pPr>
              <w:spacing w:after="0" w:line="250"/>
              <w:jc w:val="right"/>
            </w:pPr>
            <w:r>
              <w:rPr>
                <w:rFonts w:ascii="Times New Roman" w:cs="Times New Roman" w:eastAsia="Times New Roman" w:hAnsi="Times New Roman"/>
                <w:b w:val="false"/>
                <w:bCs w:val="false"/>
                <w:sz w:val="19"/>
                <w:szCs w:val="19"/>
              </w:rPr>
              <w:t xml:space="preserve">−55,20 %</w:t>
            </w:r>
          </w:p>
        </w:tc>
        <w:tc>
          <w:tcPr>
            <w:tcW w:type="dxa" w:w="1200"/>
            <w:tcBorders>
              <w:top w:val="single" w:color="A6A6A6" w:sz="4"/>
              <w:left w:val="single" w:color="A6A6A6" w:sz="4"/>
              <w:bottom w:val="single" w:color="A6A6A6" w:sz="4"/>
              <w:right w:val="single" w:color="A6A6A6" w:sz="4"/>
            </w:tcBorders>
            <w:shd w:fill="FFF4CC" w:color="auto" w:val="clear"/>
            <w:tcMar>
              <w:top w:type="dxa" w:w="50"/>
              <w:left w:type="dxa" w:w="90"/>
              <w:bottom w:type="dxa" w:w="50"/>
              <w:right w:type="dxa" w:w="90"/>
            </w:tcMar>
          </w:tcPr>
          <w:p>
            <w:pPr>
              <w:spacing w:after="0" w:line="250"/>
              <w:jc w:val="right"/>
            </w:pPr>
            <w:r>
              <w:rPr>
                <w:rFonts w:ascii="Times New Roman" w:cs="Times New Roman" w:eastAsia="Times New Roman" w:hAnsi="Times New Roman"/>
                <w:b w:val="false"/>
                <w:bCs w:val="false"/>
                <w:sz w:val="19"/>
                <w:szCs w:val="19"/>
              </w:rPr>
              <w:t xml:space="preserve">425,68</w:t>
            </w:r>
          </w:p>
        </w:tc>
        <w:tc>
          <w:tcPr>
            <w:tcW w:type="dxa" w:w="1000"/>
            <w:tcBorders>
              <w:top w:val="single" w:color="A6A6A6" w:sz="4"/>
              <w:left w:val="single" w:color="A6A6A6" w:sz="4"/>
              <w:bottom w:val="single" w:color="A6A6A6" w:sz="4"/>
              <w:right w:val="single" w:color="A6A6A6" w:sz="4"/>
            </w:tcBorders>
            <w:shd w:fill="FFF4CC" w:color="auto" w:val="clear"/>
            <w:tcMar>
              <w:top w:type="dxa" w:w="50"/>
              <w:left w:type="dxa" w:w="90"/>
              <w:bottom w:type="dxa" w:w="50"/>
              <w:right w:type="dxa" w:w="90"/>
            </w:tcMar>
          </w:tcPr>
          <w:p>
            <w:pPr>
              <w:spacing w:after="0" w:line="250"/>
              <w:jc w:val="right"/>
            </w:pPr>
            <w:r>
              <w:rPr>
                <w:rFonts w:ascii="Times New Roman" w:cs="Times New Roman" w:eastAsia="Times New Roman" w:hAnsi="Times New Roman"/>
                <w:b w:val="false"/>
                <w:bCs w:val="false"/>
                <w:sz w:val="19"/>
                <w:szCs w:val="19"/>
              </w:rPr>
              <w:t xml:space="preserve">65</w:t>
            </w:r>
          </w:p>
        </w:tc>
        <w:tc>
          <w:tcPr>
            <w:tcW w:type="dxa" w:w="1300"/>
            <w:tcBorders>
              <w:top w:val="single" w:color="A6A6A6" w:sz="4"/>
              <w:left w:val="single" w:color="A6A6A6" w:sz="4"/>
              <w:bottom w:val="single" w:color="A6A6A6" w:sz="4"/>
              <w:right w:val="single" w:color="A6A6A6" w:sz="4"/>
            </w:tcBorders>
            <w:shd w:fill="FFF4CC" w:color="auto" w:val="clear"/>
            <w:tcMar>
              <w:top w:type="dxa" w:w="50"/>
              <w:left w:type="dxa" w:w="90"/>
              <w:bottom w:type="dxa" w:w="50"/>
              <w:right w:type="dxa" w:w="90"/>
            </w:tcMar>
          </w:tcPr>
          <w:p>
            <w:pPr>
              <w:spacing w:after="0" w:line="250"/>
              <w:jc w:val="right"/>
            </w:pPr>
            <w:r>
              <w:rPr>
                <w:rFonts w:ascii="Times New Roman" w:cs="Times New Roman" w:eastAsia="Times New Roman" w:hAnsi="Times New Roman"/>
                <w:b w:val="false"/>
                <w:bCs w:val="false"/>
                <w:sz w:val="19"/>
                <w:szCs w:val="19"/>
              </w:rPr>
              <w:t xml:space="preserve">87 %</w:t>
            </w:r>
          </w:p>
        </w:tc>
        <w:tc>
          <w:tcPr>
            <w:tcW w:type="dxa" w:w="1400"/>
            <w:tcBorders>
              <w:top w:val="single" w:color="A6A6A6" w:sz="4"/>
              <w:left w:val="single" w:color="A6A6A6" w:sz="4"/>
              <w:bottom w:val="single" w:color="A6A6A6" w:sz="4"/>
              <w:right w:val="single" w:color="A6A6A6" w:sz="4"/>
            </w:tcBorders>
            <w:shd w:fill="FFF4CC" w:color="auto" w:val="clear"/>
            <w:tcMar>
              <w:top w:type="dxa" w:w="50"/>
              <w:left w:type="dxa" w:w="90"/>
              <w:bottom w:type="dxa" w:w="50"/>
              <w:right w:type="dxa" w:w="90"/>
            </w:tcMar>
          </w:tcPr>
          <w:p>
            <w:pPr>
              <w:spacing w:after="0" w:line="250"/>
              <w:jc w:val="right"/>
            </w:pPr>
            <w:r>
              <w:rPr>
                <w:rFonts w:ascii="Times New Roman" w:cs="Times New Roman" w:eastAsia="Times New Roman" w:hAnsi="Times New Roman"/>
                <w:b w:val="false"/>
                <w:bCs w:val="false"/>
                <w:sz w:val="19"/>
                <w:szCs w:val="19"/>
              </w:rPr>
              <w:t xml:space="preserve">+189,17 %</w:t>
            </w:r>
          </w:p>
        </w:tc>
      </w:tr>
      <w:tr>
        <w:trPr>
          <w:cantSplit/>
        </w:trPr>
        <w:tc>
          <w:tcPr>
            <w:tcW w:type="dxa" w:w="14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19"/>
                <w:szCs w:val="19"/>
              </w:rPr>
              <w:t xml:space="preserve">456</w:t>
            </w:r>
          </w:p>
        </w:tc>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right"/>
            </w:pPr>
            <w:r>
              <w:rPr>
                <w:rFonts w:ascii="Times New Roman" w:cs="Times New Roman" w:eastAsia="Times New Roman" w:hAnsi="Times New Roman"/>
                <w:b w:val="false"/>
                <w:bCs w:val="false"/>
                <w:sz w:val="19"/>
                <w:szCs w:val="19"/>
              </w:rPr>
              <w:t xml:space="preserve">+51,12 %</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right"/>
            </w:pPr>
            <w:r>
              <w:rPr>
                <w:rFonts w:ascii="Times New Roman" w:cs="Times New Roman" w:eastAsia="Times New Roman" w:hAnsi="Times New Roman"/>
                <w:b w:val="false"/>
                <w:bCs w:val="false"/>
                <w:sz w:val="19"/>
                <w:szCs w:val="19"/>
              </w:rPr>
              <w:t xml:space="preserve">−12,57 %</w:t>
            </w:r>
          </w:p>
        </w:tc>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right"/>
            </w:pPr>
            <w:r>
              <w:rPr>
                <w:rFonts w:ascii="Times New Roman" w:cs="Times New Roman" w:eastAsia="Times New Roman" w:hAnsi="Times New Roman"/>
                <w:b w:val="false"/>
                <w:bCs w:val="false"/>
                <w:sz w:val="19"/>
                <w:szCs w:val="19"/>
              </w:rPr>
              <w:t xml:space="preserve">745,63</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right"/>
            </w:pPr>
            <w:r>
              <w:rPr>
                <w:rFonts w:ascii="Times New Roman" w:cs="Times New Roman" w:eastAsia="Times New Roman" w:hAnsi="Times New Roman"/>
                <w:b w:val="false"/>
                <w:bCs w:val="false"/>
                <w:sz w:val="19"/>
                <w:szCs w:val="19"/>
              </w:rPr>
              <w:t xml:space="preserve">60</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right"/>
            </w:pPr>
            <w:r>
              <w:rPr>
                <w:rFonts w:ascii="Times New Roman" w:cs="Times New Roman" w:eastAsia="Times New Roman" w:hAnsi="Times New Roman"/>
                <w:b w:val="false"/>
                <w:bCs w:val="false"/>
                <w:sz w:val="19"/>
                <w:szCs w:val="19"/>
              </w:rPr>
              <w:t xml:space="preserve">1 %</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right"/>
            </w:pPr>
            <w:r>
              <w:rPr>
                <w:rFonts w:ascii="Times New Roman" w:cs="Times New Roman" w:eastAsia="Times New Roman" w:hAnsi="Times New Roman"/>
                <w:b w:val="false"/>
                <w:bCs w:val="false"/>
                <w:sz w:val="19"/>
                <w:szCs w:val="19"/>
              </w:rPr>
              <w:t xml:space="preserve">+4,03 %</w:t>
            </w:r>
          </w:p>
        </w:tc>
      </w:tr>
      <w:tr>
        <w:trPr>
          <w:cantSplit/>
        </w:trPr>
        <w:tc>
          <w:tcPr>
            <w:tcW w:type="dxa" w:w="14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19"/>
                <w:szCs w:val="19"/>
              </w:rPr>
              <w:t xml:space="preserve">789</w:t>
            </w:r>
          </w:p>
        </w:tc>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right"/>
            </w:pPr>
            <w:r>
              <w:rPr>
                <w:rFonts w:ascii="Times New Roman" w:cs="Times New Roman" w:eastAsia="Times New Roman" w:hAnsi="Times New Roman"/>
                <w:b w:val="false"/>
                <w:bCs w:val="false"/>
                <w:sz w:val="19"/>
                <w:szCs w:val="19"/>
              </w:rPr>
              <w:t xml:space="preserve">−11,54 %</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right"/>
            </w:pPr>
            <w:r>
              <w:rPr>
                <w:rFonts w:ascii="Times New Roman" w:cs="Times New Roman" w:eastAsia="Times New Roman" w:hAnsi="Times New Roman"/>
                <w:b w:val="false"/>
                <w:bCs w:val="false"/>
                <w:sz w:val="19"/>
                <w:szCs w:val="19"/>
              </w:rPr>
              <w:t xml:space="preserve">−58,55 %</w:t>
            </w:r>
          </w:p>
        </w:tc>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right"/>
            </w:pPr>
            <w:r>
              <w:rPr>
                <w:rFonts w:ascii="Times New Roman" w:cs="Times New Roman" w:eastAsia="Times New Roman" w:hAnsi="Times New Roman"/>
                <w:b w:val="false"/>
                <w:bCs w:val="false"/>
                <w:sz w:val="19"/>
                <w:szCs w:val="19"/>
              </w:rPr>
              <w:t xml:space="preserve">251,44</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right"/>
            </w:pPr>
            <w:r>
              <w:rPr>
                <w:rFonts w:ascii="Times New Roman" w:cs="Times New Roman" w:eastAsia="Times New Roman" w:hAnsi="Times New Roman"/>
                <w:b w:val="false"/>
                <w:bCs w:val="false"/>
                <w:sz w:val="19"/>
                <w:szCs w:val="19"/>
              </w:rPr>
              <w:t xml:space="preserve">44</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right"/>
            </w:pPr>
            <w:r>
              <w:rPr>
                <w:rFonts w:ascii="Times New Roman" w:cs="Times New Roman" w:eastAsia="Times New Roman" w:hAnsi="Times New Roman"/>
                <w:b w:val="false"/>
                <w:bCs w:val="false"/>
                <w:sz w:val="19"/>
                <w:szCs w:val="19"/>
              </w:rPr>
              <w:t xml:space="preserve">99 %</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right"/>
            </w:pPr>
            <w:r>
              <w:rPr>
                <w:rFonts w:ascii="Times New Roman" w:cs="Times New Roman" w:eastAsia="Times New Roman" w:hAnsi="Times New Roman"/>
                <w:b w:val="false"/>
                <w:bCs w:val="false"/>
                <w:sz w:val="19"/>
                <w:szCs w:val="19"/>
              </w:rPr>
              <w:t xml:space="preserve">+347,98 %</w:t>
            </w:r>
          </w:p>
        </w:tc>
      </w:tr>
      <w:tr>
        <w:trPr>
          <w:cantSplit/>
        </w:trPr>
        <w:tc>
          <w:tcPr>
            <w:tcW w:type="dxa" w:w="14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19"/>
                <w:szCs w:val="19"/>
              </w:rPr>
              <w:t xml:space="preserve">2026</w:t>
            </w:r>
          </w:p>
        </w:tc>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right"/>
            </w:pPr>
            <w:r>
              <w:rPr>
                <w:rFonts w:ascii="Times New Roman" w:cs="Times New Roman" w:eastAsia="Times New Roman" w:hAnsi="Times New Roman"/>
                <w:b w:val="false"/>
                <w:bCs w:val="false"/>
                <w:sz w:val="19"/>
                <w:szCs w:val="19"/>
              </w:rPr>
              <w:t xml:space="preserve">−26,03 %</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right"/>
            </w:pPr>
            <w:r>
              <w:rPr>
                <w:rFonts w:ascii="Times New Roman" w:cs="Times New Roman" w:eastAsia="Times New Roman" w:hAnsi="Times New Roman"/>
                <w:b w:val="false"/>
                <w:bCs w:val="false"/>
                <w:sz w:val="19"/>
                <w:szCs w:val="19"/>
              </w:rPr>
              <w:t xml:space="preserve">−64,56 %</w:t>
            </w:r>
          </w:p>
        </w:tc>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right"/>
            </w:pPr>
            <w:r>
              <w:rPr>
                <w:rFonts w:ascii="Times New Roman" w:cs="Times New Roman" w:eastAsia="Times New Roman" w:hAnsi="Times New Roman"/>
                <w:b w:val="false"/>
                <w:bCs w:val="false"/>
                <w:sz w:val="19"/>
                <w:szCs w:val="19"/>
              </w:rPr>
              <w:t xml:space="preserve">545,33</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right"/>
            </w:pPr>
            <w:r>
              <w:rPr>
                <w:rFonts w:ascii="Times New Roman" w:cs="Times New Roman" w:eastAsia="Times New Roman" w:hAnsi="Times New Roman"/>
                <w:b w:val="false"/>
                <w:bCs w:val="false"/>
                <w:sz w:val="19"/>
                <w:szCs w:val="19"/>
              </w:rPr>
              <w:t xml:space="preserve">104</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right"/>
            </w:pPr>
            <w:r>
              <w:rPr>
                <w:rFonts w:ascii="Times New Roman" w:cs="Times New Roman" w:eastAsia="Times New Roman" w:hAnsi="Times New Roman"/>
                <w:b w:val="false"/>
                <w:bCs w:val="false"/>
                <w:sz w:val="19"/>
                <w:szCs w:val="19"/>
              </w:rPr>
              <w:t xml:space="preserve">97 %</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right"/>
            </w:pPr>
            <w:r>
              <w:rPr>
                <w:rFonts w:ascii="Times New Roman" w:cs="Times New Roman" w:eastAsia="Times New Roman" w:hAnsi="Times New Roman"/>
                <w:b w:val="false"/>
                <w:bCs w:val="false"/>
                <w:sz w:val="19"/>
                <w:szCs w:val="19"/>
              </w:rPr>
              <w:t xml:space="preserve">+310,41 %</w:t>
            </w:r>
          </w:p>
        </w:tc>
      </w:tr>
    </w:tbl>
    <w:p>
      <w:pPr>
        <w:spacing w:after="120"/>
      </w:pPr>
    </w:p>
    <w:p>
      <w:pPr>
        <w:spacing w:after="140" w:line="300"/>
        <w:jc w:val="both"/>
      </w:pPr>
      <w:r>
        <w:rPr>
          <w:rFonts w:ascii="Times New Roman" w:cs="Times New Roman" w:eastAsia="Times New Roman" w:hAnsi="Times New Roman"/>
        </w:rPr>
        <w:t xml:space="preserve">Con la misma recompensa y la misma configuración, el resultado en prueba va de −26,03 % a +51,12 %. El orden se invierte respecto a la validación: las semillas que mejor les fue en validación (789 y 2026, casi siempre al 100 %) son de las peores en prueba, y la peor en validación (456, casi siempre en efectivo) es la mejor en prueba. El resultado depende más del nivel de exposición en que cae cada entrenamiento y del régimen del mercado que de un aprendizaje. Por eso se reportan las cinco semillas y no solo una.</w:t>
      </w:r>
    </w:p>
    <w:p>
      <w:pPr>
        <w:pStyle w:val="Heading2"/>
        <w:keepNext/>
      </w:pPr>
      <w:r>
        <w:rPr>
          <w:rFonts w:ascii="Times New Roman" w:cs="Times New Roman" w:eastAsia="Times New Roman" w:hAnsi="Times New Roman"/>
        </w:rPr>
        <w:t xml:space="preserve">10.8. Las demás recompensas en la prueba (análisis posterior)</w:t>
      </w:r>
    </w:p>
    <w:p>
      <w:pPr>
        <w:spacing w:after="140" w:line="300"/>
        <w:jc w:val="both"/>
      </w:pPr>
      <w:r>
        <w:rPr>
          <w:rFonts w:ascii="Times New Roman" w:cs="Times New Roman" w:eastAsia="Times New Roman" w:hAnsi="Times New Roman"/>
        </w:rPr>
        <w:t xml:space="preserve">Este análisis se hizo después de la evaluación final y no cambia la selección.</w:t>
      </w:r>
    </w:p>
    <w:p>
      <w:pPr>
        <w:keepNext/>
        <w:spacing w:after="40" w:before="160"/>
      </w:pPr>
      <w:r>
        <w:rPr>
          <w:rFonts w:ascii="Times New Roman" w:cs="Times New Roman" w:eastAsia="Times New Roman" w:hAnsi="Times New Roman"/>
          <w:b/>
          <w:bCs/>
        </w:rPr>
        <w:t xml:space="preserve">Tabla 13</w:t>
      </w:r>
    </w:p>
    <w:p>
      <w:pPr>
        <w:keepNext/>
        <w:spacing w:after="100"/>
      </w:pPr>
      <w:r>
        <w:rPr>
          <w:rFonts w:ascii="Times New Roman" w:cs="Times New Roman" w:eastAsia="Times New Roman" w:hAnsi="Times New Roman"/>
          <w:i/>
          <w:iCs/>
        </w:rPr>
        <w:t xml:space="preserve">Versiones no elegidas en la prueba (mediana de 5 semillas)</w:t>
      </w:r>
    </w:p>
    <w:tbl>
      <w:tblPr>
        <w:tblW w:type="dxa" w:w="8838"/>
        <w:tblBorders>
          <w:top w:val="single" w:color="auto" w:sz="4"/>
          <w:left w:val="single" w:color="auto" w:sz="4"/>
          <w:bottom w:val="single" w:color="auto" w:sz="4"/>
          <w:right w:val="single" w:color="auto" w:sz="4"/>
          <w:insideH w:val="single" w:color="auto" w:sz="4"/>
          <w:insideV w:val="single" w:color="auto" w:sz="4"/>
        </w:tblBorders>
      </w:tblPr>
      <w:tblGrid>
        <w:gridCol w:w="1938"/>
        <w:gridCol w:w="2400"/>
        <w:gridCol w:w="1250"/>
        <w:gridCol w:w="1150"/>
        <w:gridCol w:w="1000"/>
        <w:gridCol w:w="1100"/>
      </w:tblGrid>
      <w:tr>
        <w:trPr>
          <w:tblHeader/>
        </w:trPr>
        <w:tc>
          <w:tcPr>
            <w:tcW w:type="dxa" w:w="1938"/>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19"/>
                <w:szCs w:val="19"/>
              </w:rPr>
              <w:t xml:space="preserve">Versión</w:t>
            </w:r>
          </w:p>
        </w:tc>
        <w:tc>
          <w:tcPr>
            <w:tcW w:type="dxa" w:w="2400"/>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19"/>
                <w:szCs w:val="19"/>
              </w:rPr>
              <w:t xml:space="preserve">Retorno (rango)</w:t>
            </w:r>
          </w:p>
        </w:tc>
        <w:tc>
          <w:tcPr>
            <w:tcW w:type="dxa" w:w="1250"/>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19"/>
                <w:szCs w:val="19"/>
              </w:rPr>
              <w:t xml:space="preserve">Máx. drawdown</w:t>
            </w:r>
          </w:p>
        </w:tc>
        <w:tc>
          <w:tcPr>
            <w:tcW w:type="dxa" w:w="1150"/>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19"/>
                <w:szCs w:val="19"/>
              </w:rPr>
              <w:t xml:space="preserve">Costos (USD)</w:t>
            </w:r>
          </w:p>
        </w:tc>
        <w:tc>
          <w:tcPr>
            <w:tcW w:type="dxa" w:w="1000"/>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19"/>
                <w:szCs w:val="19"/>
              </w:rPr>
              <w:t xml:space="preserve">Cambios</w:t>
            </w:r>
          </w:p>
        </w:tc>
        <w:tc>
          <w:tcPr>
            <w:tcW w:type="dxa" w:w="1100"/>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19"/>
                <w:szCs w:val="19"/>
              </w:rPr>
              <w:t xml:space="preserve">Exposición</w:t>
            </w:r>
          </w:p>
        </w:tc>
      </w:tr>
      <w:tr>
        <w:trPr>
          <w:cantSplit/>
        </w:trPr>
        <w:tc>
          <w:tcPr>
            <w:tcW w:type="dxa" w:w="19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19"/>
                <w:szCs w:val="19"/>
              </w:rPr>
              <w:t xml:space="preserve">R1, escalado</w:t>
            </w:r>
          </w:p>
        </w:tc>
        <w:tc>
          <w:tcPr>
            <w:tcW w:type="dxa" w:w="24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right"/>
            </w:pPr>
            <w:r>
              <w:rPr>
                <w:rFonts w:ascii="Times New Roman" w:cs="Times New Roman" w:eastAsia="Times New Roman" w:hAnsi="Times New Roman"/>
                <w:b w:val="false"/>
                <w:bCs w:val="false"/>
                <w:sz w:val="19"/>
                <w:szCs w:val="19"/>
              </w:rPr>
              <w:t xml:space="preserve">−79,8 % (−87,3 a −54,0)</w:t>
            </w:r>
          </w:p>
        </w:tc>
        <w:tc>
          <w:tcPr>
            <w:tcW w:type="dxa" w:w="12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right"/>
            </w:pPr>
            <w:r>
              <w:rPr>
                <w:rFonts w:ascii="Times New Roman" w:cs="Times New Roman" w:eastAsia="Times New Roman" w:hAnsi="Times New Roman"/>
                <w:b w:val="false"/>
                <w:bCs w:val="false"/>
                <w:sz w:val="19"/>
                <w:szCs w:val="19"/>
              </w:rPr>
              <w:t xml:space="preserve">−83,4 %</w:t>
            </w:r>
          </w:p>
        </w:tc>
        <w:tc>
          <w:tcPr>
            <w:tcW w:type="dxa" w:w="11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right"/>
            </w:pPr>
            <w:r>
              <w:rPr>
                <w:rFonts w:ascii="Times New Roman" w:cs="Times New Roman" w:eastAsia="Times New Roman" w:hAnsi="Times New Roman"/>
                <w:b w:val="false"/>
                <w:bCs w:val="false"/>
                <w:sz w:val="19"/>
                <w:szCs w:val="19"/>
              </w:rPr>
              <w:t xml:space="preserve">7.828</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right"/>
            </w:pPr>
            <w:r>
              <w:rPr>
                <w:rFonts w:ascii="Times New Roman" w:cs="Times New Roman" w:eastAsia="Times New Roman" w:hAnsi="Times New Roman"/>
                <w:b w:val="false"/>
                <w:bCs w:val="false"/>
                <w:sz w:val="19"/>
                <w:szCs w:val="19"/>
              </w:rPr>
              <w:t xml:space="preserve">2.168</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right"/>
            </w:pPr>
            <w:r>
              <w:rPr>
                <w:rFonts w:ascii="Times New Roman" w:cs="Times New Roman" w:eastAsia="Times New Roman" w:hAnsi="Times New Roman"/>
                <w:b w:val="false"/>
                <w:bCs w:val="false"/>
                <w:sz w:val="19"/>
                <w:szCs w:val="19"/>
              </w:rPr>
              <w:t xml:space="preserve">70 %</w:t>
            </w:r>
          </w:p>
        </w:tc>
      </w:tr>
      <w:tr>
        <w:trPr>
          <w:cantSplit/>
        </w:trPr>
        <w:tc>
          <w:tcPr>
            <w:tcW w:type="dxa" w:w="19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19"/>
                <w:szCs w:val="19"/>
              </w:rPr>
              <w:t xml:space="preserve">R2, escalado</w:t>
            </w:r>
          </w:p>
        </w:tc>
        <w:tc>
          <w:tcPr>
            <w:tcW w:type="dxa" w:w="24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right"/>
            </w:pPr>
            <w:r>
              <w:rPr>
                <w:rFonts w:ascii="Times New Roman" w:cs="Times New Roman" w:eastAsia="Times New Roman" w:hAnsi="Times New Roman"/>
                <w:b w:val="false"/>
                <w:bCs w:val="false"/>
                <w:sz w:val="19"/>
                <w:szCs w:val="19"/>
              </w:rPr>
              <w:t xml:space="preserve">−73,7 % (−84,1 a −62,5)</w:t>
            </w:r>
          </w:p>
        </w:tc>
        <w:tc>
          <w:tcPr>
            <w:tcW w:type="dxa" w:w="12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right"/>
            </w:pPr>
            <w:r>
              <w:rPr>
                <w:rFonts w:ascii="Times New Roman" w:cs="Times New Roman" w:eastAsia="Times New Roman" w:hAnsi="Times New Roman"/>
                <w:b w:val="false"/>
                <w:bCs w:val="false"/>
                <w:sz w:val="19"/>
                <w:szCs w:val="19"/>
              </w:rPr>
              <w:t xml:space="preserve">−77,4 %</w:t>
            </w:r>
          </w:p>
        </w:tc>
        <w:tc>
          <w:tcPr>
            <w:tcW w:type="dxa" w:w="11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right"/>
            </w:pPr>
            <w:r>
              <w:rPr>
                <w:rFonts w:ascii="Times New Roman" w:cs="Times New Roman" w:eastAsia="Times New Roman" w:hAnsi="Times New Roman"/>
                <w:b w:val="false"/>
                <w:bCs w:val="false"/>
                <w:sz w:val="19"/>
                <w:szCs w:val="19"/>
              </w:rPr>
              <w:t xml:space="preserve">7.920</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right"/>
            </w:pPr>
            <w:r>
              <w:rPr>
                <w:rFonts w:ascii="Times New Roman" w:cs="Times New Roman" w:eastAsia="Times New Roman" w:hAnsi="Times New Roman"/>
                <w:b w:val="false"/>
                <w:bCs w:val="false"/>
                <w:sz w:val="19"/>
                <w:szCs w:val="19"/>
              </w:rPr>
              <w:t xml:space="preserve">2.145</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right"/>
            </w:pPr>
            <w:r>
              <w:rPr>
                <w:rFonts w:ascii="Times New Roman" w:cs="Times New Roman" w:eastAsia="Times New Roman" w:hAnsi="Times New Roman"/>
                <w:b w:val="false"/>
                <w:bCs w:val="false"/>
                <w:sz w:val="19"/>
                <w:szCs w:val="19"/>
              </w:rPr>
              <w:t xml:space="preserve">28 %</w:t>
            </w:r>
          </w:p>
        </w:tc>
      </w:tr>
      <w:tr>
        <w:trPr>
          <w:cantSplit/>
        </w:trPr>
        <w:tc>
          <w:tcPr>
            <w:tcW w:type="dxa" w:w="19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19"/>
                <w:szCs w:val="19"/>
              </w:rPr>
              <w:t xml:space="preserve">R3, κ = 0,002</w:t>
            </w:r>
          </w:p>
        </w:tc>
        <w:tc>
          <w:tcPr>
            <w:tcW w:type="dxa" w:w="24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right"/>
            </w:pPr>
            <w:r>
              <w:rPr>
                <w:rFonts w:ascii="Times New Roman" w:cs="Times New Roman" w:eastAsia="Times New Roman" w:hAnsi="Times New Roman"/>
                <w:b w:val="false"/>
                <w:bCs w:val="false"/>
                <w:sz w:val="19"/>
                <w:szCs w:val="19"/>
              </w:rPr>
              <w:t xml:space="preserve">−57,3 % (−67,2 a −36,4)</w:t>
            </w:r>
          </w:p>
        </w:tc>
        <w:tc>
          <w:tcPr>
            <w:tcW w:type="dxa" w:w="12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right"/>
            </w:pPr>
            <w:r>
              <w:rPr>
                <w:rFonts w:ascii="Times New Roman" w:cs="Times New Roman" w:eastAsia="Times New Roman" w:hAnsi="Times New Roman"/>
                <w:b w:val="false"/>
                <w:bCs w:val="false"/>
                <w:sz w:val="19"/>
                <w:szCs w:val="19"/>
              </w:rPr>
              <w:t xml:space="preserve">−66,4 %</w:t>
            </w:r>
          </w:p>
        </w:tc>
        <w:tc>
          <w:tcPr>
            <w:tcW w:type="dxa" w:w="11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right"/>
            </w:pPr>
            <w:r>
              <w:rPr>
                <w:rFonts w:ascii="Times New Roman" w:cs="Times New Roman" w:eastAsia="Times New Roman" w:hAnsi="Times New Roman"/>
                <w:b w:val="false"/>
                <w:bCs w:val="false"/>
                <w:sz w:val="19"/>
                <w:szCs w:val="19"/>
              </w:rPr>
              <w:t xml:space="preserve">5.595</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right"/>
            </w:pPr>
            <w:r>
              <w:rPr>
                <w:rFonts w:ascii="Times New Roman" w:cs="Times New Roman" w:eastAsia="Times New Roman" w:hAnsi="Times New Roman"/>
                <w:b w:val="false"/>
                <w:bCs w:val="false"/>
                <w:sz w:val="19"/>
                <w:szCs w:val="19"/>
              </w:rPr>
              <w:t xml:space="preserve">1.522</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right"/>
            </w:pPr>
            <w:r>
              <w:rPr>
                <w:rFonts w:ascii="Times New Roman" w:cs="Times New Roman" w:eastAsia="Times New Roman" w:hAnsi="Times New Roman"/>
                <w:b w:val="false"/>
                <w:bCs w:val="false"/>
                <w:sz w:val="19"/>
                <w:szCs w:val="19"/>
              </w:rPr>
              <w:t xml:space="preserve">55 %</w:t>
            </w:r>
          </w:p>
        </w:tc>
      </w:tr>
      <w:tr>
        <w:trPr>
          <w:cantSplit/>
        </w:trPr>
        <w:tc>
          <w:tcPr>
            <w:tcW w:type="dxa" w:w="19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19"/>
                <w:szCs w:val="19"/>
              </w:rPr>
              <w:t xml:space="preserve">R3, κ = 0,005</w:t>
            </w:r>
          </w:p>
        </w:tc>
        <w:tc>
          <w:tcPr>
            <w:tcW w:type="dxa" w:w="24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right"/>
            </w:pPr>
            <w:r>
              <w:rPr>
                <w:rFonts w:ascii="Times New Roman" w:cs="Times New Roman" w:eastAsia="Times New Roman" w:hAnsi="Times New Roman"/>
                <w:b w:val="false"/>
                <w:bCs w:val="false"/>
                <w:sz w:val="19"/>
                <w:szCs w:val="19"/>
              </w:rPr>
              <w:t xml:space="preserve">−37,4 % (−65,1 a 24,9)</w:t>
            </w:r>
          </w:p>
        </w:tc>
        <w:tc>
          <w:tcPr>
            <w:tcW w:type="dxa" w:w="12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right"/>
            </w:pPr>
            <w:r>
              <w:rPr>
                <w:rFonts w:ascii="Times New Roman" w:cs="Times New Roman" w:eastAsia="Times New Roman" w:hAnsi="Times New Roman"/>
                <w:b w:val="false"/>
                <w:bCs w:val="false"/>
                <w:sz w:val="19"/>
                <w:szCs w:val="19"/>
              </w:rPr>
              <w:t xml:space="preserve">−48,4 %</w:t>
            </w:r>
          </w:p>
        </w:tc>
        <w:tc>
          <w:tcPr>
            <w:tcW w:type="dxa" w:w="11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right"/>
            </w:pPr>
            <w:r>
              <w:rPr>
                <w:rFonts w:ascii="Times New Roman" w:cs="Times New Roman" w:eastAsia="Times New Roman" w:hAnsi="Times New Roman"/>
                <w:b w:val="false"/>
                <w:bCs w:val="false"/>
                <w:sz w:val="19"/>
                <w:szCs w:val="19"/>
              </w:rPr>
              <w:t xml:space="preserve">2.991</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right"/>
            </w:pPr>
            <w:r>
              <w:rPr>
                <w:rFonts w:ascii="Times New Roman" w:cs="Times New Roman" w:eastAsia="Times New Roman" w:hAnsi="Times New Roman"/>
                <w:b w:val="false"/>
                <w:bCs w:val="false"/>
                <w:sz w:val="19"/>
                <w:szCs w:val="19"/>
              </w:rPr>
              <w:t xml:space="preserve">707</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right"/>
            </w:pPr>
            <w:r>
              <w:rPr>
                <w:rFonts w:ascii="Times New Roman" w:cs="Times New Roman" w:eastAsia="Times New Roman" w:hAnsi="Times New Roman"/>
                <w:b w:val="false"/>
                <w:bCs w:val="false"/>
                <w:sz w:val="19"/>
                <w:szCs w:val="19"/>
              </w:rPr>
              <w:t xml:space="preserve">28 %</w:t>
            </w:r>
          </w:p>
        </w:tc>
      </w:tr>
      <w:tr>
        <w:trPr>
          <w:cantSplit/>
        </w:trPr>
        <w:tc>
          <w:tcPr>
            <w:tcW w:type="dxa" w:w="19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19"/>
                <w:szCs w:val="19"/>
              </w:rPr>
              <w:t xml:space="preserve">R3, κ = 0,010</w:t>
            </w:r>
          </w:p>
        </w:tc>
        <w:tc>
          <w:tcPr>
            <w:tcW w:type="dxa" w:w="24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right"/>
            </w:pPr>
            <w:r>
              <w:rPr>
                <w:rFonts w:ascii="Times New Roman" w:cs="Times New Roman" w:eastAsia="Times New Roman" w:hAnsi="Times New Roman"/>
                <w:b w:val="false"/>
                <w:bCs w:val="false"/>
                <w:sz w:val="19"/>
                <w:szCs w:val="19"/>
              </w:rPr>
              <w:t xml:space="preserve">−9,3 % (−18,3 a 15,4)</w:t>
            </w:r>
          </w:p>
        </w:tc>
        <w:tc>
          <w:tcPr>
            <w:tcW w:type="dxa" w:w="12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right"/>
            </w:pPr>
            <w:r>
              <w:rPr>
                <w:rFonts w:ascii="Times New Roman" w:cs="Times New Roman" w:eastAsia="Times New Roman" w:hAnsi="Times New Roman"/>
                <w:b w:val="false"/>
                <w:bCs w:val="false"/>
                <w:sz w:val="19"/>
                <w:szCs w:val="19"/>
              </w:rPr>
              <w:t xml:space="preserve">−28,5 %</w:t>
            </w:r>
          </w:p>
        </w:tc>
        <w:tc>
          <w:tcPr>
            <w:tcW w:type="dxa" w:w="11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right"/>
            </w:pPr>
            <w:r>
              <w:rPr>
                <w:rFonts w:ascii="Times New Roman" w:cs="Times New Roman" w:eastAsia="Times New Roman" w:hAnsi="Times New Roman"/>
                <w:b w:val="false"/>
                <w:bCs w:val="false"/>
                <w:sz w:val="19"/>
                <w:szCs w:val="19"/>
              </w:rPr>
              <w:t xml:space="preserve">1.370</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right"/>
            </w:pPr>
            <w:r>
              <w:rPr>
                <w:rFonts w:ascii="Times New Roman" w:cs="Times New Roman" w:eastAsia="Times New Roman" w:hAnsi="Times New Roman"/>
                <w:b w:val="false"/>
                <w:bCs w:val="false"/>
                <w:sz w:val="19"/>
                <w:szCs w:val="19"/>
              </w:rPr>
              <w:t xml:space="preserve">259</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right"/>
            </w:pPr>
            <w:r>
              <w:rPr>
                <w:rFonts w:ascii="Times New Roman" w:cs="Times New Roman" w:eastAsia="Times New Roman" w:hAnsi="Times New Roman"/>
                <w:b w:val="false"/>
                <w:bCs w:val="false"/>
                <w:sz w:val="19"/>
                <w:szCs w:val="19"/>
              </w:rPr>
              <w:t xml:space="preserve">9 %</w:t>
            </w:r>
          </w:p>
        </w:tc>
      </w:tr>
    </w:tbl>
    <w:p>
      <w:pPr>
        <w:spacing w:after="120"/>
      </w:pPr>
    </w:p>
    <w:p>
      <w:pPr>
        <w:spacing w:after="140" w:line="300"/>
        <w:jc w:val="both"/>
      </w:pPr>
      <w:r>
        <w:rPr>
          <w:rFonts w:ascii="Times New Roman" w:cs="Times New Roman" w:eastAsia="Times New Roman" w:hAnsi="Times New Roman"/>
        </w:rPr>
        <w:t xml:space="preserve">Todas pierden frente a comprar y mantener y frente a la constante 50 %. El patrón de validación se repite: a más rotación, más pérdida. R3 con κ = 0,010 logra un retorno parecido al del agente elegido (−9,3 % frente a −8,91 %) con la mitad del drawdown (−28,5 % frente a −55,20 %), porque casi no invierte. En un periodo sin tendencia neta como la prueba, quedarse fuera dejó de ser un error. Esto no significa que se haya elegido mal: con la información de validación no había forma de saberlo, y elegir con la prueba anularía la evaluación.</w:t>
      </w:r>
    </w:p>
    <w:p>
      <w:pPr>
        <w:pStyle w:val="Heading2"/>
        <w:keepNext/>
      </w:pPr>
      <w:r>
        <w:rPr>
          <w:rFonts w:ascii="Times New Roman" w:cs="Times New Roman" w:eastAsia="Times New Roman" w:hAnsi="Times New Roman"/>
        </w:rPr>
        <w:t xml:space="preserve">10.9. Comportamientos inesperados</w:t>
      </w:r>
    </w:p>
    <w:p>
      <w:pPr>
        <w:pStyle w:val="Heading3"/>
        <w:keepNext/>
      </w:pPr>
      <w:r>
        <w:rPr>
          <w:rFonts w:ascii="Times New Roman" w:cs="Times New Roman" w:eastAsia="Times New Roman" w:hAnsi="Times New Roman"/>
        </w:rPr>
        <w:t xml:space="preserve">a) Un agente que casi nunca invierte y gana 51 %</w:t>
      </w:r>
    </w:p>
    <w:p>
      <w:pPr>
        <w:spacing w:after="140" w:line="300"/>
        <w:jc w:val="both"/>
      </w:pPr>
      <w:r>
        <w:rPr>
          <w:rFonts w:ascii="Times New Roman" w:cs="Times New Roman" w:eastAsia="Times New Roman" w:hAnsi="Times New Roman"/>
        </w:rPr>
        <w:t xml:space="preserve">La semilla 456 del agente elegido estuvo invertida solo 84 de las 9.970 horas de la prueba, en 30 tramos cortos, y ganó +51,12 % con un drawdown de −12,57 %. Se revisó que no fuera un error: la contabilidad cuadra (el producto de los retornos horarios es igual al capital final) y la prueba de información futura pasa. Los tramos caen en días de desplome con rebote rápido (11 y 22 de enero, 23 de febrero, 19 y 21 de mayo y 22 de junio de 2021): el agente entra al 100 % cuando los indicadores toman valores extremos después de una caída fuerte y sale pocas horas después. En validación, la misma política casi no invirtió (+4,03 %). No hay evidencia suficiente para saber si es una regla real (comprar después de un desplome) o suerte en pocas horas.</w:t>
      </w:r>
    </w:p>
    <w:p>
      <w:pPr>
        <w:keepNext/>
        <w:spacing w:after="40" w:before="160"/>
      </w:pPr>
      <w:r>
        <w:rPr>
          <w:rFonts w:ascii="Times New Roman" w:cs="Times New Roman" w:eastAsia="Times New Roman" w:hAnsi="Times New Roman"/>
          <w:b/>
          <w:bCs/>
        </w:rPr>
        <w:t xml:space="preserve">Figura 10</w:t>
      </w:r>
    </w:p>
    <w:p>
      <w:pPr>
        <w:keepNext/>
        <w:spacing w:after="100"/>
      </w:pPr>
      <w:r>
        <w:rPr>
          <w:rFonts w:ascii="Times New Roman" w:cs="Times New Roman" w:eastAsia="Times New Roman" w:hAnsi="Times New Roman"/>
          <w:i/>
          <w:iCs/>
        </w:rPr>
        <w:t xml:space="preserve">Semilla 456 en la prueba: horas en que estuvo invertida y capital frente a comprar y mantener</w:t>
      </w:r>
    </w:p>
    <w:p>
      <w:pPr>
        <w:keepNext w:val="false"/>
        <w:spacing w:after="60"/>
        <w:jc w:val="center"/>
      </w:pPr>
      <w:r>
        <w:drawing>
          <wp:inline distT="0" distB="0" distL="0" distR="0">
            <wp:extent cx="5524500" cy="2762250"/>
            <wp:effectExtent t="0" r="0" b="0" l="0"/>
            <wp:docPr id="10" name="figura10" descr="Semilla 456 en la prueba: horas en que estuvo invertida y capital frente a comprar y mantener" title="Semilla 456 en la prueba: horas en que estuvo invertida y capital frente a comprar y mante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524500" cy="2762250"/>
                    </a:xfrm>
                    <a:prstGeom prst="rect">
                      <a:avLst/>
                    </a:prstGeom>
                  </pic:spPr>
                </pic:pic>
              </a:graphicData>
            </a:graphic>
          </wp:inline>
        </w:drawing>
      </w:r>
    </w:p>
    <w:p>
      <w:pPr>
        <w:pStyle w:val="Heading3"/>
        <w:keepNext/>
      </w:pPr>
      <w:r>
        <w:rPr>
          <w:rFonts w:ascii="Times New Roman" w:cs="Times New Roman" w:eastAsia="Times New Roman" w:hAnsi="Times New Roman"/>
        </w:rPr>
        <w:t xml:space="preserve">b) Inercia: el agente decide según su propia posición</w:t>
      </w:r>
    </w:p>
    <w:p>
      <w:pPr>
        <w:spacing w:after="140" w:line="300"/>
        <w:jc w:val="both"/>
      </w:pPr>
      <w:r>
        <w:rPr>
          <w:rFonts w:ascii="Times New Roman" w:cs="Times New Roman" w:eastAsia="Times New Roman" w:hAnsi="Times New Roman"/>
        </w:rPr>
        <w:t xml:space="preserve">Con el estado sin escalar, la acción depende casi solo de la posición actual (sección 7.1). Por eso la misma semilla 123 tuvo 58 % de exposición media en validación y 87 % en prueba: en la prueba llegó temprano al 100 % y se quedó. El comportamiento depende del camino recorrido, no del mercado.</w:t>
      </w:r>
    </w:p>
    <w:p>
      <w:pPr>
        <w:pStyle w:val="Heading3"/>
        <w:keepNext/>
      </w:pPr>
      <w:r>
        <w:rPr>
          <w:rFonts w:ascii="Times New Roman" w:cs="Times New Roman" w:eastAsia="Times New Roman" w:hAnsi="Times New Roman"/>
        </w:rPr>
        <w:t xml:space="preserve">c) Sobreoperación al escalar el estado</w:t>
      </w:r>
    </w:p>
    <w:p>
      <w:pPr>
        <w:spacing w:after="140" w:line="300"/>
        <w:jc w:val="both"/>
      </w:pPr>
      <w:r>
        <w:rPr>
          <w:rFonts w:ascii="Times New Roman" w:cs="Times New Roman" w:eastAsia="Times New Roman" w:hAnsi="Times New Roman"/>
        </w:rPr>
        <w:t xml:space="preserve">Una mejora técnica que parecía obvia, escalar las entradas de la red, empeoró todo: el agente pasó de no usar los indicadores a usarlos de más, con más de 2.000 cambios de exposición en la prueba y pérdidas cercanas al 80 % (sección 10.8).</w:t>
      </w:r>
    </w:p>
    <w:p>
      <w:pPr>
        <w:pStyle w:val="Heading3"/>
        <w:keepNext/>
      </w:pPr>
      <w:r>
        <w:rPr>
          <w:rFonts w:ascii="Times New Roman" w:cs="Times New Roman" w:eastAsia="Times New Roman" w:hAnsi="Times New Roman"/>
        </w:rPr>
        <w:t xml:space="preserve">d) La misma configuración da políticas distintas en Colab y en otro computador</w:t>
      </w:r>
    </w:p>
    <w:p>
      <w:pPr>
        <w:spacing w:after="140" w:line="300"/>
        <w:jc w:val="both"/>
      </w:pPr>
      <w:r>
        <w:rPr>
          <w:rFonts w:ascii="Times New Roman" w:cs="Times New Roman" w:eastAsia="Times New Roman" w:hAnsi="Times New Roman"/>
        </w:rPr>
        <w:t xml:space="preserve">La misma configuración con la semilla 42 dio +325,33 % en validación al correrla en Google Colab y +113,82 % en el computador local (sección 7.1). En un problema con tan poca señal, diferencias numéricas mínimas cambian la política aprendida.</w:t>
      </w:r>
    </w:p>
    <w:p>
      <w:pPr>
        <w:pStyle w:val="Heading1"/>
        <w:keepNext/>
      </w:pPr>
      <w:r>
        <w:rPr>
          <w:rFonts w:ascii="Times New Roman" w:cs="Times New Roman" w:eastAsia="Times New Roman" w:hAnsi="Times New Roman"/>
        </w:rPr>
        <w:t xml:space="preserve">11. Discusión: limitaciones, reward hacking y no estacionariedad</w:t>
      </w:r>
    </w:p>
    <w:p>
      <w:pPr>
        <w:pStyle w:val="Heading2"/>
        <w:keepNext/>
      </w:pPr>
      <w:r>
        <w:rPr>
          <w:rFonts w:ascii="Times New Roman" w:cs="Times New Roman" w:eastAsia="Times New Roman" w:hAnsi="Times New Roman"/>
        </w:rPr>
        <w:t xml:space="preserve">11.1. Respuesta a la pregunta</w:t>
      </w:r>
    </w:p>
    <w:p>
      <w:pPr>
        <w:spacing w:after="140" w:line="300"/>
        <w:jc w:val="both"/>
      </w:pPr>
      <w:r>
        <w:rPr>
          <w:rFonts w:ascii="Times New Roman" w:cs="Times New Roman" w:eastAsia="Times New Roman" w:hAnsi="Times New Roman"/>
        </w:rPr>
        <w:t xml:space="preserve">En este experimento el agente DQN </w:t>
      </w:r>
      <w:r>
        <w:rPr>
          <w:rFonts w:ascii="Times New Roman" w:cs="Times New Roman" w:eastAsia="Times New Roman" w:hAnsi="Times New Roman"/>
          <w:b/>
          <w:bCs/>
        </w:rPr>
        <w:t xml:space="preserve">no</w:t>
      </w:r>
      <w:r>
        <w:rPr>
          <w:rFonts w:ascii="Times New Roman" w:cs="Times New Roman" w:eastAsia="Times New Roman" w:hAnsi="Times New Roman"/>
        </w:rPr>
        <w:t xml:space="preserve"> aprendió una estrategia mejor que las estrategias simples en datos no vistos. Les ganó por mucho a las decisiones al azar, porque aprendió a no operar de más, pero perdió frente a comprar y mantener (−8,91 % frente a +5,86 %) y frente a mantener el 50 % (+12,11 %), con un riesgo igual o mayor. Ninguna de las seis versiones probadas superó a esas referencias en la prueba. El resultado es negativo, pero la evaluación permite explicar por qué.</w:t>
      </w:r>
    </w:p>
    <w:p>
      <w:pPr>
        <w:pStyle w:val="Heading2"/>
        <w:keepNext/>
      </w:pPr>
      <w:r>
        <w:rPr>
          <w:rFonts w:ascii="Times New Roman" w:cs="Times New Roman" w:eastAsia="Times New Roman" w:hAnsi="Times New Roman"/>
        </w:rPr>
        <w:t xml:space="preserve">11.2. No estacionariedad</w:t>
      </w:r>
    </w:p>
    <w:p>
      <w:pPr>
        <w:keepNext/>
        <w:spacing w:after="40" w:before="160"/>
      </w:pPr>
      <w:r>
        <w:rPr>
          <w:rFonts w:ascii="Times New Roman" w:cs="Times New Roman" w:eastAsia="Times New Roman" w:hAnsi="Times New Roman"/>
          <w:b/>
          <w:bCs/>
        </w:rPr>
        <w:t xml:space="preserve">Tabla 14</w:t>
      </w:r>
    </w:p>
    <w:p>
      <w:pPr>
        <w:keepNext/>
        <w:spacing w:after="100"/>
      </w:pPr>
      <w:r>
        <w:rPr>
          <w:rFonts w:ascii="Times New Roman" w:cs="Times New Roman" w:eastAsia="Times New Roman" w:hAnsi="Times New Roman"/>
          <w:i/>
          <w:iCs/>
        </w:rPr>
        <w:t xml:space="preserve">Comportamiento del mercado en cada periodo</w:t>
      </w:r>
    </w:p>
    <w:tbl>
      <w:tblPr>
        <w:tblW w:type="dxa" w:w="8838"/>
        <w:tblBorders>
          <w:top w:val="single" w:color="auto" w:sz="4"/>
          <w:left w:val="single" w:color="auto" w:sz="4"/>
          <w:bottom w:val="single" w:color="auto" w:sz="4"/>
          <w:right w:val="single" w:color="auto" w:sz="4"/>
          <w:insideH w:val="single" w:color="auto" w:sz="4"/>
          <w:insideV w:val="single" w:color="auto" w:sz="4"/>
        </w:tblBorders>
      </w:tblPr>
      <w:tblGrid>
        <w:gridCol w:w="1638"/>
        <w:gridCol w:w="1800"/>
        <w:gridCol w:w="1500"/>
        <w:gridCol w:w="2300"/>
        <w:gridCol w:w="1600"/>
      </w:tblGrid>
      <w:tr>
        <w:trPr>
          <w:tblHeader/>
        </w:trPr>
        <w:tc>
          <w:tcPr>
            <w:tcW w:type="dxa" w:w="1638"/>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19"/>
                <w:szCs w:val="19"/>
              </w:rPr>
              <w:t xml:space="preserve">Periodo</w:t>
            </w:r>
          </w:p>
        </w:tc>
        <w:tc>
          <w:tcPr>
            <w:tcW w:type="dxa" w:w="1800"/>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19"/>
                <w:szCs w:val="19"/>
              </w:rPr>
              <w:t xml:space="preserve">Comprar y mantener</w:t>
            </w:r>
          </w:p>
        </w:tc>
        <w:tc>
          <w:tcPr>
            <w:tcW w:type="dxa" w:w="1500"/>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19"/>
                <w:szCs w:val="19"/>
              </w:rPr>
              <w:t xml:space="preserve">Máx. drawdown</w:t>
            </w:r>
          </w:p>
        </w:tc>
        <w:tc>
          <w:tcPr>
            <w:tcW w:type="dxa" w:w="2300"/>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19"/>
                <w:szCs w:val="19"/>
              </w:rPr>
              <w:t xml:space="preserve">Media / desviación del retorno horario</w:t>
            </w:r>
          </w:p>
        </w:tc>
        <w:tc>
          <w:tcPr>
            <w:tcW w:type="dxa" w:w="1600"/>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19"/>
                <w:szCs w:val="19"/>
              </w:rPr>
              <w:t xml:space="preserve">Volatilidad 24 h media</w:t>
            </w:r>
          </w:p>
        </w:tc>
      </w:tr>
      <w:tr>
        <w:trPr>
          <w:cantSplit/>
        </w:trPr>
        <w:tc>
          <w:tcPr>
            <w:tcW w:type="dxa" w:w="16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19"/>
                <w:szCs w:val="19"/>
              </w:rPr>
              <w:t xml:space="preserve">Ajuste</w:t>
            </w:r>
          </w:p>
        </w:tc>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right"/>
            </w:pPr>
            <w:r>
              <w:rPr>
                <w:rFonts w:ascii="Times New Roman" w:cs="Times New Roman" w:eastAsia="Times New Roman" w:hAnsi="Times New Roman"/>
                <w:b w:val="false"/>
                <w:bCs w:val="false"/>
                <w:sz w:val="19"/>
                <w:szCs w:val="19"/>
              </w:rPr>
              <w:t xml:space="preserve">+10,53 %</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right"/>
            </w:pPr>
            <w:r>
              <w:rPr>
                <w:rFonts w:ascii="Times New Roman" w:cs="Times New Roman" w:eastAsia="Times New Roman" w:hAnsi="Times New Roman"/>
                <w:b w:val="false"/>
                <w:bCs w:val="false"/>
                <w:sz w:val="19"/>
                <w:szCs w:val="19"/>
              </w:rPr>
              <w:t xml:space="preserve">−70,29 %</w:t>
            </w:r>
          </w:p>
        </w:tc>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right"/>
            </w:pPr>
            <w:r>
              <w:rPr>
                <w:rFonts w:ascii="Times New Roman" w:cs="Times New Roman" w:eastAsia="Times New Roman" w:hAnsi="Times New Roman"/>
                <w:b w:val="false"/>
                <w:bCs w:val="false"/>
                <w:sz w:val="19"/>
                <w:szCs w:val="19"/>
              </w:rPr>
              <w:t xml:space="preserve">0,0007</w:t>
            </w:r>
          </w:p>
        </w:tc>
        <w:tc>
          <w:tcPr>
            <w:tcW w:type="dxa" w:w="1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right"/>
            </w:pPr>
            <w:r>
              <w:rPr>
                <w:rFonts w:ascii="Times New Roman" w:cs="Times New Roman" w:eastAsia="Times New Roman" w:hAnsi="Times New Roman"/>
                <w:b w:val="false"/>
                <w:bCs w:val="false"/>
                <w:sz w:val="19"/>
                <w:szCs w:val="19"/>
              </w:rPr>
              <w:t xml:space="preserve">0,63 %</w:t>
            </w:r>
          </w:p>
        </w:tc>
      </w:tr>
      <w:tr>
        <w:trPr>
          <w:cantSplit/>
        </w:trPr>
        <w:tc>
          <w:tcPr>
            <w:tcW w:type="dxa" w:w="16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19"/>
                <w:szCs w:val="19"/>
              </w:rPr>
              <w:t xml:space="preserve">Validación</w:t>
            </w:r>
          </w:p>
        </w:tc>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right"/>
            </w:pPr>
            <w:r>
              <w:rPr>
                <w:rFonts w:ascii="Times New Roman" w:cs="Times New Roman" w:eastAsia="Times New Roman" w:hAnsi="Times New Roman"/>
                <w:b w:val="false"/>
                <w:bCs w:val="false"/>
                <w:sz w:val="19"/>
                <w:szCs w:val="19"/>
              </w:rPr>
              <w:t xml:space="preserve">+348,90 %</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right"/>
            </w:pPr>
            <w:r>
              <w:rPr>
                <w:rFonts w:ascii="Times New Roman" w:cs="Times New Roman" w:eastAsia="Times New Roman" w:hAnsi="Times New Roman"/>
                <w:b w:val="false"/>
                <w:bCs w:val="false"/>
                <w:sz w:val="19"/>
                <w:szCs w:val="19"/>
              </w:rPr>
              <w:t xml:space="preserve">−19,90 %</w:t>
            </w:r>
          </w:p>
        </w:tc>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right"/>
            </w:pPr>
            <w:r>
              <w:rPr>
                <w:rFonts w:ascii="Times New Roman" w:cs="Times New Roman" w:eastAsia="Times New Roman" w:hAnsi="Times New Roman"/>
                <w:b w:val="false"/>
                <w:bCs w:val="false"/>
                <w:sz w:val="19"/>
                <w:szCs w:val="19"/>
              </w:rPr>
              <w:t xml:space="preserve">0,0501</w:t>
            </w:r>
          </w:p>
        </w:tc>
        <w:tc>
          <w:tcPr>
            <w:tcW w:type="dxa" w:w="1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right"/>
            </w:pPr>
            <w:r>
              <w:rPr>
                <w:rFonts w:ascii="Times New Roman" w:cs="Times New Roman" w:eastAsia="Times New Roman" w:hAnsi="Times New Roman"/>
                <w:b w:val="false"/>
                <w:bCs w:val="false"/>
                <w:sz w:val="19"/>
                <w:szCs w:val="19"/>
              </w:rPr>
              <w:t xml:space="preserve">0,55 %</w:t>
            </w:r>
          </w:p>
        </w:tc>
      </w:tr>
      <w:tr>
        <w:trPr>
          <w:cantSplit/>
        </w:trPr>
        <w:tc>
          <w:tcPr>
            <w:tcW w:type="dxa" w:w="16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19"/>
                <w:szCs w:val="19"/>
              </w:rPr>
              <w:t xml:space="preserve">Prueba</w:t>
            </w:r>
          </w:p>
        </w:tc>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right"/>
            </w:pPr>
            <w:r>
              <w:rPr>
                <w:rFonts w:ascii="Times New Roman" w:cs="Times New Roman" w:eastAsia="Times New Roman" w:hAnsi="Times New Roman"/>
                <w:b w:val="false"/>
                <w:bCs w:val="false"/>
                <w:sz w:val="19"/>
                <w:szCs w:val="19"/>
              </w:rPr>
              <w:t xml:space="preserve">+5,86 %</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right"/>
            </w:pPr>
            <w:r>
              <w:rPr>
                <w:rFonts w:ascii="Times New Roman" w:cs="Times New Roman" w:eastAsia="Times New Roman" w:hAnsi="Times New Roman"/>
                <w:b w:val="false"/>
                <w:bCs w:val="false"/>
                <w:sz w:val="19"/>
                <w:szCs w:val="19"/>
              </w:rPr>
              <w:t xml:space="preserve">−54,83 %</w:t>
            </w:r>
          </w:p>
        </w:tc>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right"/>
            </w:pPr>
            <w:r>
              <w:rPr>
                <w:rFonts w:ascii="Times New Roman" w:cs="Times New Roman" w:eastAsia="Times New Roman" w:hAnsi="Times New Roman"/>
                <w:b w:val="false"/>
                <w:bCs w:val="false"/>
                <w:sz w:val="19"/>
                <w:szCs w:val="19"/>
              </w:rPr>
              <w:t xml:space="preserve">0,0006</w:t>
            </w:r>
          </w:p>
        </w:tc>
        <w:tc>
          <w:tcPr>
            <w:tcW w:type="dxa" w:w="1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right"/>
            </w:pPr>
            <w:r>
              <w:rPr>
                <w:rFonts w:ascii="Times New Roman" w:cs="Times New Roman" w:eastAsia="Times New Roman" w:hAnsi="Times New Roman"/>
                <w:b w:val="false"/>
                <w:bCs w:val="false"/>
                <w:sz w:val="19"/>
                <w:szCs w:val="19"/>
              </w:rPr>
              <w:t xml:space="preserve">0,81 %</w:t>
            </w:r>
          </w:p>
        </w:tc>
      </w:tr>
    </w:tbl>
    <w:p>
      <w:pPr>
        <w:spacing w:after="120"/>
      </w:pPr>
    </w:p>
    <w:p>
      <w:pPr>
        <w:spacing w:after="140" w:line="300"/>
        <w:jc w:val="both"/>
      </w:pPr>
      <w:r>
        <w:rPr>
          <w:rFonts w:ascii="Times New Roman" w:cs="Times New Roman" w:eastAsia="Times New Roman" w:hAnsi="Times New Roman"/>
        </w:rPr>
        <w:t xml:space="preserve">El mercado no se comportó igual en el tiempo. El agente aprendió en un periodo sin tendencia y con caídas profundas, se eligió en un periodo de subida casi continua y se evaluó en un periodo sin tendencia neta pero más volátil. Esto tuvo tres consecuencias:</w:t>
      </w:r>
    </w:p>
    <w:p>
      <w:pPr>
        <w:pStyle w:val="ListParagraph"/>
        <w:numPr>
          <w:ilvl w:val="0"/>
          <w:numId w:val="4"/>
        </w:numPr>
        <w:spacing w:after="80" w:line="290"/>
        <w:jc w:val="both"/>
      </w:pPr>
      <w:r>
        <w:rPr>
          <w:rFonts w:ascii="Times New Roman" w:cs="Times New Roman" w:eastAsia="Times New Roman" w:hAnsi="Times New Roman"/>
        </w:rPr>
        <w:t xml:space="preserve">Lo aprendido en el ajuste no se trasladó. La conducta defensiva de R3 o la contraria de la semilla 456 tenían sentido en el ajuste y en la prueba, pero no en la validación.</w:t>
      </w:r>
    </w:p>
    <w:p>
      <w:pPr>
        <w:pStyle w:val="ListParagraph"/>
        <w:numPr>
          <w:ilvl w:val="0"/>
          <w:numId w:val="4"/>
        </w:numPr>
        <w:spacing w:after="80" w:line="290"/>
        <w:jc w:val="both"/>
      </w:pPr>
      <w:r>
        <w:rPr>
          <w:rFonts w:ascii="Times New Roman" w:cs="Times New Roman" w:eastAsia="Times New Roman" w:hAnsi="Times New Roman"/>
        </w:rPr>
        <w:t xml:space="preserve">La selección premió la exposición. En una validación alcista, la regla de mayor retorno eligió la versión más invertida, que luego sufrió el drawdown completo de la prueba. Con una sola ventana de validación, la elección depende de qué régimen tocó en esa ventana.</w:t>
      </w:r>
    </w:p>
    <w:p>
      <w:pPr>
        <w:pStyle w:val="ListParagraph"/>
        <w:numPr>
          <w:ilvl w:val="0"/>
          <w:numId w:val="4"/>
        </w:numPr>
        <w:spacing w:after="80" w:line="290"/>
        <w:jc w:val="both"/>
      </w:pPr>
      <w:r>
        <w:rPr>
          <w:rFonts w:ascii="Times New Roman" w:cs="Times New Roman" w:eastAsia="Times New Roman" w:hAnsi="Times New Roman"/>
        </w:rPr>
        <w:t xml:space="preserve">En la prueba, casi sin tendencia y con mucha volatilidad, la mejor estrategia fue justamente la que rebalancea a una exposición fija (constante 50 %), que nadie entrenó.</w:t>
      </w:r>
    </w:p>
    <w:p>
      <w:pPr>
        <w:pStyle w:val="Heading2"/>
        <w:keepNext/>
      </w:pPr>
      <w:r>
        <w:rPr>
          <w:rFonts w:ascii="Times New Roman" w:cs="Times New Roman" w:eastAsia="Times New Roman" w:hAnsi="Times New Roman"/>
        </w:rPr>
        <w:t xml:space="preserve">11.3. Reward hacking</w:t>
      </w:r>
    </w:p>
    <w:p>
      <w:pPr>
        <w:spacing w:after="140" w:line="300"/>
        <w:jc w:val="both"/>
      </w:pPr>
      <w:r>
        <w:rPr>
          <w:rFonts w:ascii="Times New Roman" w:cs="Times New Roman" w:eastAsia="Times New Roman" w:hAnsi="Times New Roman"/>
        </w:rPr>
        <w:t xml:space="preserve">La iteración de la recompensa mostró que el agente optimiza lo que dice la recompensa, no lo que se quiere de él. Con R1 y estado sin escalar, la recompensa casi no distinguía entre acciones y el agente quedó en cualquier nivel. Con el estado escalado, persiguió diferencias de ruido y pagó comisiones sin parar. Con R3 encontró la salida más barata: quedarse en efectivo y no moverse, lo que anula los dos castigos. Ese es el caso de </w:t>
      </w:r>
      <w:r>
        <w:rPr>
          <w:rFonts w:ascii="Times New Roman" w:cs="Times New Roman" w:eastAsia="Times New Roman" w:hAnsi="Times New Roman"/>
          <w:i/>
          <w:iCs/>
        </w:rPr>
        <w:t xml:space="preserve">reward hacking</w:t>
      </w:r>
      <w:r>
        <w:rPr>
          <w:rFonts w:ascii="Times New Roman" w:cs="Times New Roman" w:eastAsia="Times New Roman" w:hAnsi="Times New Roman"/>
        </w:rPr>
        <w:t xml:space="preserve"> del proyecto: una recompensa razonable en el papel (retorno menos riesgo menos rotación) tiene un mínimo trivial que no corresponde al comportamiento financiero buscado. La única defensa fue medir siempre con el capital real y comparar con referencias simples.</w:t>
      </w:r>
    </w:p>
    <w:p>
      <w:pPr>
        <w:pStyle w:val="Heading2"/>
        <w:keepNext/>
      </w:pPr>
      <w:r>
        <w:rPr>
          <w:rFonts w:ascii="Times New Roman" w:cs="Times New Roman" w:eastAsia="Times New Roman" w:hAnsi="Times New Roman"/>
        </w:rPr>
        <w:t xml:space="preserve">11.4. Limitaciones</w:t>
      </w:r>
    </w:p>
    <w:p>
      <w:pPr>
        <w:pStyle w:val="ListParagraph"/>
        <w:numPr>
          <w:ilvl w:val="0"/>
          <w:numId w:val="4"/>
        </w:numPr>
        <w:spacing w:after="80" w:line="290"/>
        <w:jc w:val="both"/>
      </w:pPr>
      <w:r>
        <w:rPr>
          <w:rFonts w:ascii="Times New Roman" w:cs="Times New Roman" w:eastAsia="Times New Roman" w:hAnsi="Times New Roman"/>
          <w:b/>
          <w:bCs/>
        </w:rPr>
        <w:t xml:space="preserve">Un solo activo y una sola división temporal.</w:t>
      </w:r>
      <w:r>
        <w:rPr>
          <w:rFonts w:ascii="Times New Roman" w:cs="Times New Roman" w:eastAsia="Times New Roman" w:hAnsi="Times New Roman"/>
        </w:rPr>
        <w:t xml:space="preserve"> Los resultados dependen de un periodo concreto de BTC/USD; con otra ventana de validación la selección podría cambiar.</w:t>
      </w:r>
    </w:p>
    <w:p>
      <w:pPr>
        <w:pStyle w:val="ListParagraph"/>
        <w:numPr>
          <w:ilvl w:val="0"/>
          <w:numId w:val="4"/>
        </w:numPr>
        <w:spacing w:after="80" w:line="290"/>
        <w:jc w:val="both"/>
      </w:pPr>
      <w:r>
        <w:rPr>
          <w:rFonts w:ascii="Times New Roman" w:cs="Times New Roman" w:eastAsia="Times New Roman" w:hAnsi="Times New Roman"/>
          <w:b/>
          <w:bCs/>
        </w:rPr>
        <w:t xml:space="preserve">Simulación simplificada.</w:t>
      </w:r>
      <w:r>
        <w:rPr>
          <w:rFonts w:ascii="Times New Roman" w:cs="Times New Roman" w:eastAsia="Times New Roman" w:hAnsi="Times New Roman"/>
        </w:rPr>
        <w:t xml:space="preserve"> Ejecución exacta al cierre, sin deslizamiento, sin impacto en el precio, costo fijo de 0,1 % y efectivo sin intereses.</w:t>
      </w:r>
    </w:p>
    <w:p>
      <w:pPr>
        <w:pStyle w:val="ListParagraph"/>
        <w:numPr>
          <w:ilvl w:val="0"/>
          <w:numId w:val="4"/>
        </w:numPr>
        <w:spacing w:after="80" w:line="290"/>
        <w:jc w:val="both"/>
      </w:pPr>
      <w:r>
        <w:rPr>
          <w:rFonts w:ascii="Times New Roman" w:cs="Times New Roman" w:eastAsia="Times New Roman" w:hAnsi="Times New Roman"/>
          <w:b/>
          <w:bCs/>
        </w:rPr>
        <w:t xml:space="preserve">Decisión cada hora.</w:t>
      </w:r>
      <w:r>
        <w:rPr>
          <w:rFonts w:ascii="Times New Roman" w:cs="Times New Roman" w:eastAsia="Times New Roman" w:hAnsi="Times New Roman"/>
        </w:rPr>
        <w:t xml:space="preserve"> La señal de una hora es casi puro ruido y cada cambio paga comisión. No se probaron decisiones cada 24 horas o más.</w:t>
      </w:r>
    </w:p>
    <w:p>
      <w:pPr>
        <w:pStyle w:val="ListParagraph"/>
        <w:numPr>
          <w:ilvl w:val="0"/>
          <w:numId w:val="4"/>
        </w:numPr>
        <w:spacing w:after="80" w:line="290"/>
        <w:jc w:val="both"/>
      </w:pPr>
      <w:r>
        <w:rPr>
          <w:rFonts w:ascii="Times New Roman" w:cs="Times New Roman" w:eastAsia="Times New Roman" w:hAnsi="Times New Roman"/>
          <w:b/>
          <w:bCs/>
        </w:rPr>
        <w:t xml:space="preserve">Estado limitado.</w:t>
      </w:r>
      <w:r>
        <w:rPr>
          <w:rFonts w:ascii="Times New Roman" w:cs="Times New Roman" w:eastAsia="Times New Roman" w:hAnsi="Times New Roman"/>
        </w:rPr>
        <w:t xml:space="preserve"> Tres indicadores de 24 horas que, medidos en el ajuste, no anticipan la dirección del precio. El volumen quedó fuera.</w:t>
      </w:r>
    </w:p>
    <w:p>
      <w:pPr>
        <w:pStyle w:val="ListParagraph"/>
        <w:numPr>
          <w:ilvl w:val="0"/>
          <w:numId w:val="4"/>
        </w:numPr>
        <w:spacing w:after="80" w:line="290"/>
        <w:jc w:val="both"/>
      </w:pPr>
      <w:r>
        <w:rPr>
          <w:rFonts w:ascii="Times New Roman" w:cs="Times New Roman" w:eastAsia="Times New Roman" w:hAnsi="Times New Roman"/>
          <w:b/>
          <w:bCs/>
        </w:rPr>
        <w:t xml:space="preserve">Pocas semillas y entrenamiento corto.</w:t>
      </w:r>
      <w:r>
        <w:rPr>
          <w:rFonts w:ascii="Times New Roman" w:cs="Times New Roman" w:eastAsia="Times New Roman" w:hAnsi="Times New Roman"/>
        </w:rPr>
        <w:t xml:space="preserve"> Cinco semillas y 120.000 pasos (unos 6 recorridos del ajuste) muestran la variación, pero no permiten intervalos de confianza firmes. Los hiperparámetros no se ajustaron.</w:t>
      </w:r>
    </w:p>
    <w:p>
      <w:pPr>
        <w:pStyle w:val="ListParagraph"/>
        <w:numPr>
          <w:ilvl w:val="0"/>
          <w:numId w:val="4"/>
        </w:numPr>
        <w:spacing w:after="80" w:line="290"/>
        <w:jc w:val="both"/>
      </w:pPr>
      <w:r>
        <w:rPr>
          <w:rFonts w:ascii="Times New Roman" w:cs="Times New Roman" w:eastAsia="Times New Roman" w:hAnsi="Times New Roman"/>
          <w:b/>
          <w:bCs/>
        </w:rPr>
        <w:t xml:space="preserve">Episodio fijo.</w:t>
      </w:r>
      <w:r>
        <w:rPr>
          <w:rFonts w:ascii="Times New Roman" w:cs="Times New Roman" w:eastAsia="Times New Roman" w:hAnsi="Times New Roman"/>
        </w:rPr>
        <w:t xml:space="preserve"> Cada episodio recorre la misma serie desde el mismo punto; el agente ve siempre la misma secuencia.</w:t>
      </w:r>
    </w:p>
    <w:p>
      <w:pPr>
        <w:pStyle w:val="ListParagraph"/>
        <w:numPr>
          <w:ilvl w:val="0"/>
          <w:numId w:val="4"/>
        </w:numPr>
        <w:spacing w:after="80" w:line="290"/>
        <w:jc w:val="both"/>
      </w:pPr>
      <w:r>
        <w:rPr>
          <w:rFonts w:ascii="Times New Roman" w:cs="Times New Roman" w:eastAsia="Times New Roman" w:hAnsi="Times New Roman"/>
          <w:b/>
          <w:bCs/>
        </w:rPr>
        <w:t xml:space="preserve">Reproducibilidad entre plataformas.</w:t>
      </w:r>
      <w:r>
        <w:rPr>
          <w:rFonts w:ascii="Times New Roman" w:cs="Times New Roman" w:eastAsia="Times New Roman" w:hAnsi="Times New Roman"/>
        </w:rPr>
        <w:t xml:space="preserve"> En un mismo computador el resultado es idéntico, pero en otra máquina la política puede cambiar. Por eso el repositorio incluye los modelos entrenados.</w:t>
      </w:r>
    </w:p>
    <w:p>
      <w:pPr>
        <w:pStyle w:val="ListParagraph"/>
        <w:numPr>
          <w:ilvl w:val="0"/>
          <w:numId w:val="4"/>
        </w:numPr>
        <w:spacing w:after="80" w:line="290"/>
        <w:jc w:val="both"/>
      </w:pPr>
      <w:r>
        <w:rPr>
          <w:rFonts w:ascii="Times New Roman" w:cs="Times New Roman" w:eastAsia="Times New Roman" w:hAnsi="Times New Roman"/>
          <w:b/>
          <w:bCs/>
        </w:rPr>
        <w:t xml:space="preserve">Prueba vista antes.</w:t>
      </w:r>
      <w:r>
        <w:rPr>
          <w:rFonts w:ascii="Times New Roman" w:cs="Times New Roman" w:eastAsia="Times New Roman" w:hAnsi="Times New Roman"/>
        </w:rPr>
        <w:t xml:space="preserve"> En la primera etapa se evaluó un agente preliminar en el periodo de prueba (Anexo A). No se ajustó nada con eso, pero el periodo no estuvo completamente oculto.</w:t>
      </w:r>
    </w:p>
    <w:p>
      <w:pPr>
        <w:pStyle w:val="Heading2"/>
        <w:keepNext/>
      </w:pPr>
      <w:r>
        <w:rPr>
          <w:rFonts w:ascii="Times New Roman" w:cs="Times New Roman" w:eastAsia="Times New Roman" w:hAnsi="Times New Roman"/>
        </w:rPr>
        <w:t xml:space="preserve">11.5. Qué se podría hacer después</w:t>
      </w:r>
    </w:p>
    <w:p>
      <w:pPr>
        <w:pStyle w:val="ListParagraph"/>
        <w:numPr>
          <w:ilvl w:val="0"/>
          <w:numId w:val="4"/>
        </w:numPr>
        <w:spacing w:after="80" w:line="290"/>
        <w:jc w:val="both"/>
      </w:pPr>
      <w:r>
        <w:rPr>
          <w:rFonts w:ascii="Times New Roman" w:cs="Times New Roman" w:eastAsia="Times New Roman" w:hAnsi="Times New Roman"/>
        </w:rPr>
        <w:t xml:space="preserve">Decidir cada 24 horas o más y repetir la acción entre decisiones, como hace DQN al repetir la misma acción durante varios cuadros (Mnih et al., 2015): menos ruido por decisión y menos comisiones.</w:t>
      </w:r>
    </w:p>
    <w:p>
      <w:pPr>
        <w:pStyle w:val="ListParagraph"/>
        <w:numPr>
          <w:ilvl w:val="0"/>
          <w:numId w:val="4"/>
        </w:numPr>
        <w:spacing w:after="80" w:line="290"/>
        <w:jc w:val="both"/>
      </w:pPr>
      <w:r>
        <w:rPr>
          <w:rFonts w:ascii="Times New Roman" w:cs="Times New Roman" w:eastAsia="Times New Roman" w:hAnsi="Times New Roman"/>
        </w:rPr>
        <w:t xml:space="preserve">Validar con varias ventanas consecutivas (validación móvil) en lugar de una sola, para no elegir con un único régimen de mercado.</w:t>
      </w:r>
    </w:p>
    <w:p>
      <w:pPr>
        <w:pStyle w:val="ListParagraph"/>
        <w:numPr>
          <w:ilvl w:val="0"/>
          <w:numId w:val="4"/>
        </w:numPr>
        <w:spacing w:after="80" w:line="290"/>
        <w:jc w:val="both"/>
      </w:pPr>
      <w:r>
        <w:rPr>
          <w:rFonts w:ascii="Times New Roman" w:cs="Times New Roman" w:eastAsia="Times New Roman" w:hAnsi="Times New Roman"/>
        </w:rPr>
        <w:t xml:space="preserve">Comparar siempre contra exposiciones constantes (0 %, 50 %, 100 %) para separar el valor de decidir cuándo invertir del simple nivel de exposición.</w:t>
      </w:r>
    </w:p>
    <w:p>
      <w:pPr>
        <w:pStyle w:val="ListParagraph"/>
        <w:numPr>
          <w:ilvl w:val="0"/>
          <w:numId w:val="4"/>
        </w:numPr>
        <w:spacing w:after="80" w:line="290"/>
        <w:jc w:val="both"/>
      </w:pPr>
      <w:r>
        <w:rPr>
          <w:rFonts w:ascii="Times New Roman" w:cs="Times New Roman" w:eastAsia="Times New Roman" w:hAnsi="Times New Roman"/>
        </w:rPr>
        <w:t xml:space="preserve">Probar PPO (Schulman et al., 2017), que también trabaja con acciones discretas, y usar más semillas por versión.</w:t>
      </w:r>
    </w:p>
    <w:p>
      <w:pPr>
        <w:pStyle w:val="Heading1"/>
        <w:keepNext/>
      </w:pPr>
      <w:r>
        <w:rPr>
          <w:rFonts w:ascii="Times New Roman" w:cs="Times New Roman" w:eastAsia="Times New Roman" w:hAnsi="Times New Roman"/>
        </w:rPr>
        <w:t xml:space="preserve">12. Conclusiones</w:t>
      </w:r>
    </w:p>
    <w:p>
      <w:pPr>
        <w:pStyle w:val="ListParagraph"/>
        <w:numPr>
          <w:ilvl w:val="0"/>
          <w:numId w:val="4"/>
        </w:numPr>
        <w:spacing w:after="80" w:line="290"/>
        <w:jc w:val="both"/>
      </w:pPr>
      <w:r>
        <w:rPr>
          <w:rFonts w:ascii="Times New Roman" w:cs="Times New Roman" w:eastAsia="Times New Roman" w:hAnsi="Times New Roman"/>
        </w:rPr>
        <w:t xml:space="preserve">El problema se formuló como un proceso de decisión con un estado de tres indicadores de 24 horas más la posición y tres acciones interpretables (0 %, 50 % y 100 % en BTC). El entorno cobra costos sobre el monto operado y no usa información futura, lo que se comprobó con dos auditorías.</w:t>
      </w:r>
    </w:p>
    <w:p>
      <w:pPr>
        <w:pStyle w:val="ListParagraph"/>
        <w:numPr>
          <w:ilvl w:val="0"/>
          <w:numId w:val="4"/>
        </w:numPr>
        <w:spacing w:after="80" w:line="290"/>
        <w:jc w:val="both"/>
      </w:pPr>
      <w:r>
        <w:rPr>
          <w:rFonts w:ascii="Times New Roman" w:cs="Times New Roman" w:eastAsia="Times New Roman" w:hAnsi="Times New Roman"/>
        </w:rPr>
        <w:t xml:space="preserve">La recompensa se iteró tres veces y en cada iteración apareció una conducta distinta: indiferencia (R1), sobreoperación (R1 y R2 con estado escalado) y abandono del mercado (R3). La iteración enseñó más sobre el problema que cualquier resultado aislado.</w:t>
      </w:r>
    </w:p>
    <w:p>
      <w:pPr>
        <w:pStyle w:val="ListParagraph"/>
        <w:numPr>
          <w:ilvl w:val="0"/>
          <w:numId w:val="4"/>
        </w:numPr>
        <w:spacing w:after="80" w:line="290"/>
        <w:jc w:val="both"/>
      </w:pPr>
      <w:r>
        <w:rPr>
          <w:rFonts w:ascii="Times New Roman" w:cs="Times New Roman" w:eastAsia="Times New Roman" w:hAnsi="Times New Roman"/>
        </w:rPr>
        <w:t xml:space="preserve">El agente elegido en validación perdió 8,91 % en la prueba, frente a +5,86 % de comprar y mantener y +12,11 % de mantener el 50 %. Superó claramente al agente aleatorio (−98,79 %), cuyo problema principal fueron los costos.</w:t>
      </w:r>
    </w:p>
    <w:p>
      <w:pPr>
        <w:pStyle w:val="ListParagraph"/>
        <w:numPr>
          <w:ilvl w:val="0"/>
          <w:numId w:val="4"/>
        </w:numPr>
        <w:spacing w:after="80" w:line="290"/>
        <w:jc w:val="both"/>
      </w:pPr>
      <w:r>
        <w:rPr>
          <w:rFonts w:ascii="Times New Roman" w:cs="Times New Roman" w:eastAsia="Times New Roman" w:hAnsi="Times New Roman"/>
        </w:rPr>
        <w:t xml:space="preserve">La principal limitación es la no estacionariedad: el ajuste, la validación y la prueba son mercados distintos. Una validación alcista llevó a elegir la versión más expuesta.</w:t>
      </w:r>
    </w:p>
    <w:p>
      <w:pPr>
        <w:pStyle w:val="ListParagraph"/>
        <w:numPr>
          <w:ilvl w:val="0"/>
          <w:numId w:val="4"/>
        </w:numPr>
        <w:spacing w:after="80" w:line="290"/>
        <w:jc w:val="both"/>
      </w:pPr>
      <w:r>
        <w:rPr>
          <w:rFonts w:ascii="Times New Roman" w:cs="Times New Roman" w:eastAsia="Times New Roman" w:hAnsi="Times New Roman"/>
        </w:rPr>
        <w:t xml:space="preserve">Con los datos y la formulación usados, un DQN que decide cada hora no encuentra una señal que justifique sus costos. La conclusión es útil por la forma en que se obtuvo: con selección congelada antes de la prueba, varias semillas, referencias simples y la misma contabilidad para todos.</w:t>
      </w:r>
    </w:p>
    <w:p>
      <w:pPr>
        <w:pStyle w:val="Heading1"/>
        <w:keepNext/>
      </w:pPr>
      <w:r>
        <w:rPr>
          <w:rFonts w:ascii="Times New Roman" w:cs="Times New Roman" w:eastAsia="Times New Roman" w:hAnsi="Times New Roman"/>
        </w:rPr>
        <w:t xml:space="preserve">13. Reflexión individual</w:t>
      </w:r>
    </w:p>
    <w:p>
      <w:pPr>
        <w:spacing w:after="140" w:line="300"/>
        <w:jc w:val="both"/>
      </w:pPr>
      <w:r>
        <w:rPr>
          <w:rFonts w:ascii="Times New Roman" w:cs="Times New Roman" w:eastAsia="Times New Roman" w:hAnsi="Times New Roman"/>
        </w:rPr>
        <w:t xml:space="preserve">Esta sección responde cinco preguntas sobre el proceso: el resultado más sorprendente, la decisión de método con más impacto, qué se cambiaría, qué quedó sin explicar y en qué se diferencia este problema de lo aprendido en el curso.</w:t>
      </w:r>
    </w:p>
    <w:p>
      <w:pPr>
        <w:spacing w:after="140" w:line="300"/>
        <w:jc w:val="both"/>
      </w:pPr>
      <w:r>
        <w:rPr>
          <w:rFonts w:ascii="Times New Roman" w:cs="Times New Roman" w:eastAsia="Times New Roman" w:hAnsi="Times New Roman"/>
          <w:b/>
          <w:bCs/>
        </w:rPr>
        <w:t xml:space="preserve">¿Cuál fue el resultado que más sorprendió?</w:t>
      </w:r>
      <w:r>
        <w:rPr>
          <w:rFonts w:ascii="Times New Roman" w:cs="Times New Roman" w:eastAsia="Times New Roman" w:hAnsi="Times New Roman"/>
        </w:rPr>
        <w:t xml:space="preserve"> El efecto de escalar el estado. Era una mejora técnica que parecía segura y empeoró todo: el agente pasó de ignorar los indicadores a seguirlos hora a hora, cambió de exposición cientos de veces y perdió cerca de la mitad del capital en comisiones. También sorprendió que la semilla que casi nunca invirtió fuera la que más ganó en la prueba.</w:t>
      </w:r>
    </w:p>
    <w:p>
      <w:pPr>
        <w:spacing w:after="140" w:line="300"/>
        <w:jc w:val="both"/>
      </w:pPr>
      <w:r>
        <w:rPr>
          <w:rFonts w:ascii="Times New Roman" w:cs="Times New Roman" w:eastAsia="Times New Roman" w:hAnsi="Times New Roman"/>
          <w:b/>
          <w:bCs/>
        </w:rPr>
        <w:t xml:space="preserve">¿Qué decisión metodológica tuvo mayor impacto en el agente?</w:t>
      </w:r>
      <w:r>
        <w:rPr>
          <w:rFonts w:ascii="Times New Roman" w:cs="Times New Roman" w:eastAsia="Times New Roman" w:hAnsi="Times New Roman"/>
        </w:rPr>
        <w:t xml:space="preserve"> La regla de selección junto con el periodo de validación. Como la validación fue un alza fuerte, cualquier criterio basado en el retorno iba a favorecer al agente más invertido, y eso definió el agente final. Escribir la regla antes de entrenar R3 y congelar la selección antes de la prueba obligó a aceptar ese resultado, aunque después se viera que R3 con κ = 0,010 tenía la mitad del drawdown en la prueba.</w:t>
      </w:r>
    </w:p>
    <w:p>
      <w:pPr>
        <w:spacing w:after="140" w:line="300"/>
        <w:jc w:val="both"/>
      </w:pPr>
      <w:r>
        <w:rPr>
          <w:rFonts w:ascii="Times New Roman" w:cs="Times New Roman" w:eastAsia="Times New Roman" w:hAnsi="Times New Roman"/>
          <w:b/>
          <w:bCs/>
        </w:rPr>
        <w:t xml:space="preserve">¿Qué se cambiaría al repetir el experimento?</w:t>
      </w:r>
      <w:r>
        <w:rPr>
          <w:rFonts w:ascii="Times New Roman" w:cs="Times New Roman" w:eastAsia="Times New Roman" w:hAnsi="Times New Roman"/>
        </w:rPr>
        <w:t xml:space="preserve"> Que el agente decida cada día y no cada hora, para que cada decisión tenga más señal y pague menos comisiones. Validar con varias ventanas de tiempo en lugar de una. Incluir desde el principio la referencia de exposición constante al 50 %, que resultó la más difícil de vencer. Y usar más semillas antes de sacar conclusiones.</w:t>
      </w:r>
    </w:p>
    <w:p>
      <w:pPr>
        <w:spacing w:after="140" w:line="300"/>
        <w:jc w:val="both"/>
      </w:pPr>
      <w:r>
        <w:rPr>
          <w:rFonts w:ascii="Times New Roman" w:cs="Times New Roman" w:eastAsia="Times New Roman" w:hAnsi="Times New Roman"/>
          <w:b/>
          <w:bCs/>
        </w:rPr>
        <w:t xml:space="preserve">¿Qué comportamiento del agente no se logró explicar completamente?</w:t>
      </w:r>
      <w:r>
        <w:rPr>
          <w:rFonts w:ascii="Times New Roman" w:cs="Times New Roman" w:eastAsia="Times New Roman" w:hAnsi="Times New Roman"/>
        </w:rPr>
        <w:t xml:space="preserve"> Por qué la semilla 456 aprendió a entrar solo después de desplomes y si eso es una regla real o suerte en pocas horas. Tampoco hay una explicación completa de por qué la misma configuración da políticas tan distintas en Colab y en el computador local: se sabe que hay diferencias numéricas, pero no por qué el resultado es tan sensible a ellas.</w:t>
      </w:r>
    </w:p>
    <w:p>
      <w:pPr>
        <w:spacing w:after="140" w:line="300"/>
        <w:jc w:val="both"/>
      </w:pPr>
      <w:r>
        <w:rPr>
          <w:rFonts w:ascii="Times New Roman" w:cs="Times New Roman" w:eastAsia="Times New Roman" w:hAnsi="Times New Roman"/>
          <w:b/>
          <w:bCs/>
        </w:rPr>
        <w:t xml:space="preserve">¿Cuál fue la principal diferencia entre lo aprendido en aprendizaje por refuerzo y su aplicación a este problema?</w:t>
      </w:r>
      <w:r>
        <w:rPr>
          <w:rFonts w:ascii="Times New Roman" w:cs="Times New Roman" w:eastAsia="Times New Roman" w:hAnsi="Times New Roman"/>
        </w:rPr>
        <w:t xml:space="preserve"> En el taller del curso con LunarLander-v3, la recompensa estaba bien definida, el ambiente no cambiaba y más entrenamiento significaba un mejor agente. Aquí el ambiente cambia de régimen, la recompensa es casi puro ruido y el agente no influye en el precio, solo en su posición y en sus costos. El aprendizaje por refuerzo supone que la experiencia de entrenamiento representa lo que vendrá; en un mercado eso no se cumple, y reconocer esa diferencia fue el aprendizaje más valioso del proyecto.</w:t>
      </w:r>
    </w:p>
    <w:p>
      <w:pPr>
        <w:pStyle w:val="Heading1"/>
        <w:keepNext/>
      </w:pPr>
      <w:r>
        <w:rPr>
          <w:rFonts w:ascii="Times New Roman" w:cs="Times New Roman" w:eastAsia="Times New Roman" w:hAnsi="Times New Roman"/>
        </w:rPr>
        <w:t xml:space="preserve">14. Reproducibilidad</w:t>
      </w:r>
    </w:p>
    <w:p>
      <w:pPr>
        <w:spacing w:after="140" w:line="300"/>
        <w:jc w:val="both"/>
      </w:pPr>
      <w:r>
        <w:rPr>
          <w:rFonts w:ascii="Times New Roman" w:cs="Times New Roman" w:eastAsia="Times New Roman" w:hAnsi="Times New Roman"/>
        </w:rPr>
        <w:t xml:space="preserve">El código, los datos, los modelos entrenados y todos los resultados están en el repositorio público:</w:t>
      </w:r>
    </w:p>
    <w:p>
      <w:pPr>
        <w:spacing w:after="120"/>
      </w:pPr>
      <w:hyperlink w:history="1" r:id="rIdjbppah9c_yktotvhdevpu">
        <w:r>
          <w:rPr>
            <w:rStyle w:val="Hyperlink"/>
            <w:rFonts w:ascii="Times New Roman" w:cs="Times New Roman" w:eastAsia="Times New Roman" w:hAnsi="Times New Roman"/>
          </w:rPr>
          <w:t xml:space="preserve">https://github.com/dsiriarte/agente-inversor-btc</w:t>
        </w:r>
      </w:hyperlink>
    </w:p>
    <w:p>
      <w:pPr>
        <w:keepNext/>
        <w:shd w:fill="F2F2F2" w:color="auto" w:val="clear"/>
        <w:spacing w:after="0" w:before="80" w:line="240"/>
        <w:ind w:left="200"/>
      </w:pPr>
      <w:r>
        <w:rPr>
          <w:rFonts w:ascii="Consolas" w:cs="Consolas" w:eastAsia="Consolas" w:hAnsi="Consolas"/>
          <w:sz w:val="18"/>
          <w:szCs w:val="18"/>
        </w:rPr>
        <w:t xml:space="preserve">git clone https://github.com/dsiriarte/agente-inversor-btc.git</w:t>
      </w:r>
    </w:p>
    <w:p>
      <w:pPr>
        <w:keepNext/>
        <w:shd w:fill="F2F2F2" w:color="auto" w:val="clear"/>
        <w:spacing w:after="0" w:before="0" w:line="240"/>
        <w:ind w:left="200"/>
      </w:pPr>
      <w:r>
        <w:rPr>
          <w:rFonts w:ascii="Consolas" w:cs="Consolas" w:eastAsia="Consolas" w:hAnsi="Consolas"/>
          <w:sz w:val="18"/>
          <w:szCs w:val="18"/>
        </w:rPr>
        <w:t xml:space="preserve">cd agente-inversor-btc</w:t>
      </w:r>
    </w:p>
    <w:p>
      <w:pPr>
        <w:keepNext/>
        <w:shd w:fill="F2F2F2" w:color="auto" w:val="clear"/>
        <w:spacing w:after="0" w:before="0" w:line="240"/>
        <w:ind w:left="200"/>
      </w:pPr>
      <w:r>
        <w:rPr>
          <w:rFonts w:ascii="Consolas" w:cs="Consolas" w:eastAsia="Consolas" w:hAnsi="Consolas"/>
          <w:sz w:val="18"/>
          <w:szCs w:val="18"/>
        </w:rPr>
        <w:t xml:space="preserve">uv sync --extra notebooks              # o: pip install -r requirements.txt</w:t>
      </w:r>
    </w:p>
    <w:p>
      <w:pPr>
        <w:keepNext/>
        <w:shd w:fill="F2F2F2" w:color="auto" w:val="clear"/>
        <w:spacing w:after="0" w:before="0" w:line="240"/>
        <w:ind w:left="200"/>
      </w:pPr>
      <w:r>
        <w:rPr>
          <w:rFonts w:ascii="Consolas" w:cs="Consolas" w:eastAsia="Consolas" w:hAnsi="Consolas"/>
          <w:sz w:val="18"/>
          <w:szCs w:val="18"/>
        </w:rPr>
        <w:t xml:space="preserve">uv run python -m src.pipeline          # todo, con los modelos incluidos</w:t>
      </w:r>
    </w:p>
    <w:p>
      <w:pPr>
        <w:keepNext w:val="false"/>
        <w:shd w:fill="F2F2F2" w:color="auto" w:val="clear"/>
        <w:spacing w:after="0" w:before="0" w:line="240"/>
        <w:ind w:left="200"/>
      </w:pPr>
      <w:r>
        <w:rPr>
          <w:rFonts w:ascii="Consolas" w:cs="Consolas" w:eastAsia="Consolas" w:hAnsi="Consolas"/>
          <w:sz w:val="18"/>
          <w:szCs w:val="18"/>
        </w:rPr>
        <w:t xml:space="preserve">uv run python -m src.pipeline --entrenar   # reentrenando los 30 modelos</w:t>
      </w:r>
    </w:p>
    <w:p>
      <w:pPr>
        <w:spacing w:after="120"/>
      </w:pPr>
    </w:p>
    <w:p>
      <w:pPr>
        <w:keepNext/>
        <w:spacing w:after="40" w:before="160"/>
      </w:pPr>
      <w:r>
        <w:rPr>
          <w:rFonts w:ascii="Times New Roman" w:cs="Times New Roman" w:eastAsia="Times New Roman" w:hAnsi="Times New Roman"/>
          <w:b/>
          <w:bCs/>
        </w:rPr>
        <w:t xml:space="preserve">Tabla 15</w:t>
      </w:r>
    </w:p>
    <w:p>
      <w:pPr>
        <w:keepNext/>
        <w:spacing w:after="100"/>
      </w:pPr>
      <w:r>
        <w:rPr>
          <w:rFonts w:ascii="Times New Roman" w:cs="Times New Roman" w:eastAsia="Times New Roman" w:hAnsi="Times New Roman"/>
          <w:i/>
          <w:iCs/>
        </w:rPr>
        <w:t xml:space="preserve">Comandos por etapa</w:t>
      </w:r>
    </w:p>
    <w:tbl>
      <w:tblPr>
        <w:tblW w:type="dxa" w:w="8838"/>
        <w:tblBorders>
          <w:top w:val="single" w:color="auto" w:sz="4"/>
          <w:left w:val="single" w:color="auto" w:sz="4"/>
          <w:bottom w:val="single" w:color="auto" w:sz="4"/>
          <w:right w:val="single" w:color="auto" w:sz="4"/>
          <w:insideH w:val="single" w:color="auto" w:sz="4"/>
          <w:insideV w:val="single" w:color="auto" w:sz="4"/>
        </w:tblBorders>
      </w:tblPr>
      <w:tblGrid>
        <w:gridCol w:w="3838"/>
        <w:gridCol w:w="5000"/>
      </w:tblGrid>
      <w:tr>
        <w:trPr>
          <w:tblHeader/>
        </w:trPr>
        <w:tc>
          <w:tcPr>
            <w:tcW w:type="dxa" w:w="3838"/>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19"/>
                <w:szCs w:val="19"/>
              </w:rPr>
              <w:t xml:space="preserve">Etapa</w:t>
            </w:r>
          </w:p>
        </w:tc>
        <w:tc>
          <w:tcPr>
            <w:tcW w:type="dxa" w:w="5000"/>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19"/>
                <w:szCs w:val="19"/>
              </w:rPr>
              <w:t xml:space="preserve">Comando</w:t>
            </w:r>
          </w:p>
        </w:tc>
      </w:tr>
      <w:tr>
        <w:trPr>
          <w:cantSplit/>
        </w:trPr>
        <w:tc>
          <w:tcPr>
            <w:tcW w:type="dxa" w:w="38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19"/>
                <w:szCs w:val="19"/>
              </w:rPr>
              <w:t xml:space="preserve">Datos y auditoría de indicadores</w:t>
            </w:r>
          </w:p>
        </w:tc>
        <w:tc>
          <w:tcPr>
            <w:tcW w:type="dxa" w:w="5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left"/>
            </w:pPr>
            <w:r>
              <w:rPr>
                <w:rFonts w:ascii="Consolas" w:cs="Consolas" w:eastAsia="Consolas" w:hAnsi="Consolas"/>
                <w:sz w:val="16"/>
                <w:szCs w:val="16"/>
              </w:rPr>
              <w:t xml:space="preserve">python -m src.data</w:t>
            </w:r>
          </w:p>
        </w:tc>
      </w:tr>
      <w:tr>
        <w:trPr>
          <w:cantSplit/>
        </w:trPr>
        <w:tc>
          <w:tcPr>
            <w:tcW w:type="dxa" w:w="38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19"/>
                <w:szCs w:val="19"/>
              </w:rPr>
              <w:t xml:space="preserve">Entrenamiento (6 versiones × 5 semillas)</w:t>
            </w:r>
          </w:p>
        </w:tc>
        <w:tc>
          <w:tcPr>
            <w:tcW w:type="dxa" w:w="5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left"/>
            </w:pPr>
            <w:r>
              <w:rPr>
                <w:rFonts w:ascii="Consolas" w:cs="Consolas" w:eastAsia="Consolas" w:hAnsi="Consolas"/>
                <w:sz w:val="16"/>
                <w:szCs w:val="16"/>
              </w:rPr>
              <w:t xml:space="preserve">python -m src.train --todos</w:t>
            </w:r>
          </w:p>
        </w:tc>
      </w:tr>
      <w:tr>
        <w:trPr>
          <w:cantSplit/>
        </w:trPr>
        <w:tc>
          <w:tcPr>
            <w:tcW w:type="dxa" w:w="38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19"/>
                <w:szCs w:val="19"/>
              </w:rPr>
              <w:t xml:space="preserve">Baselines</w:t>
            </w:r>
          </w:p>
        </w:tc>
        <w:tc>
          <w:tcPr>
            <w:tcW w:type="dxa" w:w="5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left"/>
            </w:pPr>
            <w:r>
              <w:rPr>
                <w:rFonts w:ascii="Consolas" w:cs="Consolas" w:eastAsia="Consolas" w:hAnsi="Consolas"/>
                <w:sz w:val="16"/>
                <w:szCs w:val="16"/>
              </w:rPr>
              <w:t xml:space="preserve">python -m src.baselines --conjunto validacion</w:t>
            </w:r>
          </w:p>
        </w:tc>
      </w:tr>
      <w:tr>
        <w:trPr>
          <w:cantSplit/>
        </w:trPr>
        <w:tc>
          <w:tcPr>
            <w:tcW w:type="dxa" w:w="38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19"/>
                <w:szCs w:val="19"/>
              </w:rPr>
              <w:t xml:space="preserve">Validación y selección congelada</w:t>
            </w:r>
          </w:p>
        </w:tc>
        <w:tc>
          <w:tcPr>
            <w:tcW w:type="dxa" w:w="5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left"/>
            </w:pPr>
            <w:r>
              <w:rPr>
                <w:rFonts w:ascii="Consolas" w:cs="Consolas" w:eastAsia="Consolas" w:hAnsi="Consolas"/>
                <w:sz w:val="16"/>
                <w:szCs w:val="16"/>
              </w:rPr>
              <w:t xml:space="preserve">python -m src.evaluate --validacion</w:t>
            </w:r>
          </w:p>
        </w:tc>
      </w:tr>
      <w:tr>
        <w:trPr>
          <w:cantSplit/>
        </w:trPr>
        <w:tc>
          <w:tcPr>
            <w:tcW w:type="dxa" w:w="38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19"/>
                <w:szCs w:val="19"/>
              </w:rPr>
              <w:t xml:space="preserve">Evaluación final en prueba</w:t>
            </w:r>
          </w:p>
        </w:tc>
        <w:tc>
          <w:tcPr>
            <w:tcW w:type="dxa" w:w="5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left"/>
            </w:pPr>
            <w:r>
              <w:rPr>
                <w:rFonts w:ascii="Consolas" w:cs="Consolas" w:eastAsia="Consolas" w:hAnsi="Consolas"/>
                <w:sz w:val="16"/>
                <w:szCs w:val="16"/>
              </w:rPr>
              <w:t xml:space="preserve">python -m src.evaluate --prueba</w:t>
            </w:r>
          </w:p>
        </w:tc>
      </w:tr>
      <w:tr>
        <w:trPr>
          <w:cantSplit/>
        </w:trPr>
        <w:tc>
          <w:tcPr>
            <w:tcW w:type="dxa" w:w="38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19"/>
                <w:szCs w:val="19"/>
              </w:rPr>
              <w:t xml:space="preserve">Análisis posterior</w:t>
            </w:r>
          </w:p>
        </w:tc>
        <w:tc>
          <w:tcPr>
            <w:tcW w:type="dxa" w:w="5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left"/>
            </w:pPr>
            <w:r>
              <w:rPr>
                <w:rFonts w:ascii="Consolas" w:cs="Consolas" w:eastAsia="Consolas" w:hAnsi="Consolas"/>
                <w:sz w:val="16"/>
                <w:szCs w:val="16"/>
              </w:rPr>
              <w:t xml:space="preserve">python -m src.evaluate --posterior</w:t>
            </w:r>
          </w:p>
        </w:tc>
      </w:tr>
      <w:tr>
        <w:trPr>
          <w:cantSplit/>
        </w:trPr>
        <w:tc>
          <w:tcPr>
            <w:tcW w:type="dxa" w:w="38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19"/>
                <w:szCs w:val="19"/>
              </w:rPr>
              <w:t xml:space="preserve">Auditoría de información futura</w:t>
            </w:r>
          </w:p>
        </w:tc>
        <w:tc>
          <w:tcPr>
            <w:tcW w:type="dxa" w:w="5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left"/>
            </w:pPr>
            <w:r>
              <w:rPr>
                <w:rFonts w:ascii="Consolas" w:cs="Consolas" w:eastAsia="Consolas" w:hAnsi="Consolas"/>
                <w:sz w:val="16"/>
                <w:szCs w:val="16"/>
              </w:rPr>
              <w:t xml:space="preserve">python -m src.auditoria</w:t>
            </w:r>
          </w:p>
        </w:tc>
      </w:tr>
      <w:tr>
        <w:trPr>
          <w:cantSplit/>
        </w:trPr>
        <w:tc>
          <w:tcPr>
            <w:tcW w:type="dxa" w:w="38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19"/>
                <w:szCs w:val="19"/>
              </w:rPr>
              <w:t xml:space="preserve">Figuras</w:t>
            </w:r>
          </w:p>
        </w:tc>
        <w:tc>
          <w:tcPr>
            <w:tcW w:type="dxa" w:w="5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left"/>
            </w:pPr>
            <w:r>
              <w:rPr>
                <w:rFonts w:ascii="Consolas" w:cs="Consolas" w:eastAsia="Consolas" w:hAnsi="Consolas"/>
                <w:sz w:val="16"/>
                <w:szCs w:val="16"/>
              </w:rPr>
              <w:t xml:space="preserve">python -m src.figuras</w:t>
            </w:r>
          </w:p>
        </w:tc>
      </w:tr>
      <w:tr>
        <w:trPr>
          <w:cantSplit/>
        </w:trPr>
        <w:tc>
          <w:tcPr>
            <w:tcW w:type="dxa" w:w="38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19"/>
                <w:szCs w:val="19"/>
              </w:rPr>
              <w:t xml:space="preserve">Análisis exploratorio</w:t>
            </w:r>
          </w:p>
        </w:tc>
        <w:tc>
          <w:tcPr>
            <w:tcW w:type="dxa" w:w="5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0"/>
              <w:jc w:val="left"/>
            </w:pPr>
            <w:r>
              <w:rPr>
                <w:rFonts w:ascii="Consolas" w:cs="Consolas" w:eastAsia="Consolas" w:hAnsi="Consolas"/>
                <w:sz w:val="16"/>
                <w:szCs w:val="16"/>
              </w:rPr>
              <w:t xml:space="preserve">notebooks/eda.ipynb</w:t>
            </w:r>
          </w:p>
        </w:tc>
      </w:tr>
    </w:tbl>
    <w:p>
      <w:pPr>
        <w:spacing w:after="120"/>
      </w:pPr>
    </w:p>
    <w:p>
      <w:pPr>
        <w:pStyle w:val="ListParagraph"/>
        <w:numPr>
          <w:ilvl w:val="0"/>
          <w:numId w:val="4"/>
        </w:numPr>
        <w:spacing w:after="80" w:line="290"/>
        <w:jc w:val="left"/>
      </w:pPr>
      <w:r>
        <w:rPr>
          <w:rFonts w:ascii="Times New Roman" w:cs="Times New Roman" w:eastAsia="Times New Roman" w:hAnsi="Times New Roman"/>
          <w:b/>
          <w:bCs/>
        </w:rPr>
        <w:t xml:space="preserve">Dataset:</w:t>
      </w:r>
      <w:r>
        <w:rPr>
          <w:rFonts w:ascii="Times New Roman" w:cs="Times New Roman" w:eastAsia="Times New Roman" w:hAnsi="Times New Roman"/>
        </w:rPr>
        <w:t xml:space="preserve"> </w:t>
      </w:r>
      <w:r>
        <w:rPr>
          <w:rFonts w:ascii="Consolas" w:cs="Consolas" w:eastAsia="Consolas" w:hAnsi="Consolas"/>
          <w:sz w:val="21"/>
          <w:szCs w:val="21"/>
        </w:rPr>
        <w:t xml:space="preserve">data/BTC_USD-Hourly.csv</w:t>
      </w:r>
      <w:r>
        <w:rPr>
          <w:rFonts w:ascii="Times New Roman" w:cs="Times New Roman" w:eastAsia="Times New Roman" w:hAnsi="Times New Roman"/>
        </w:rPr>
        <w:t xml:space="preserve">, con huella SHA-256 </w:t>
      </w:r>
      <w:r>
        <w:rPr>
          <w:rFonts w:ascii="Consolas" w:cs="Consolas" w:eastAsia="Consolas" w:hAnsi="Consolas"/>
          <w:sz w:val="21"/>
          <w:szCs w:val="21"/>
        </w:rPr>
        <w:t xml:space="preserve">b5ccfdef2aa852ded1ea03378c1777757d2c27a81d53e0fc81af0011fed9cccf</w:t>
      </w:r>
      <w:r>
        <w:rPr>
          <w:rFonts w:ascii="Times New Roman" w:cs="Times New Roman" w:eastAsia="Times New Roman" w:hAnsi="Times New Roman"/>
        </w:rPr>
        <w:t xml:space="preserve">.</w:t>
      </w:r>
    </w:p>
    <w:p>
      <w:pPr>
        <w:pStyle w:val="ListParagraph"/>
        <w:numPr>
          <w:ilvl w:val="0"/>
          <w:numId w:val="4"/>
        </w:numPr>
        <w:spacing w:after="80" w:line="290"/>
        <w:jc w:val="both"/>
      </w:pPr>
      <w:r>
        <w:rPr>
          <w:rFonts w:ascii="Times New Roman" w:cs="Times New Roman" w:eastAsia="Times New Roman" w:hAnsi="Times New Roman"/>
          <w:b/>
          <w:bCs/>
        </w:rPr>
        <w:t xml:space="preserve">Semillas:</w:t>
      </w:r>
      <w:r>
        <w:rPr>
          <w:rFonts w:ascii="Times New Roman" w:cs="Times New Roman" w:eastAsia="Times New Roman" w:hAnsi="Times New Roman"/>
        </w:rPr>
        <w:t xml:space="preserve"> 42, 123, 456, 789 y 2026 para el agente; 1000 a 1099 para el aleatorio. Fijan Python, NumPy, PyTorch y Stable-Baselines3, y PyTorch corre con un solo hilo.</w:t>
      </w:r>
    </w:p>
    <w:p>
      <w:pPr>
        <w:pStyle w:val="ListParagraph"/>
        <w:numPr>
          <w:ilvl w:val="0"/>
          <w:numId w:val="4"/>
        </w:numPr>
        <w:spacing w:after="80" w:line="290"/>
        <w:jc w:val="both"/>
      </w:pPr>
      <w:r>
        <w:rPr>
          <w:rFonts w:ascii="Times New Roman" w:cs="Times New Roman" w:eastAsia="Times New Roman" w:hAnsi="Times New Roman"/>
          <w:b/>
          <w:bCs/>
        </w:rPr>
        <w:t xml:space="preserve">Determinismo:</w:t>
      </w:r>
      <w:r>
        <w:rPr>
          <w:rFonts w:ascii="Times New Roman" w:cs="Times New Roman" w:eastAsia="Times New Roman" w:hAnsi="Times New Roman"/>
        </w:rPr>
        <w:t xml:space="preserve"> en un mismo computador, reentrenar da exactamente los mismos pesos. En otra plataforma pueden cambiar; los modelos usados en este informe están en </w:t>
      </w:r>
      <w:r>
        <w:rPr>
          <w:rFonts w:ascii="Consolas" w:cs="Consolas" w:eastAsia="Consolas" w:hAnsi="Consolas"/>
          <w:sz w:val="21"/>
          <w:szCs w:val="21"/>
        </w:rPr>
        <w:t xml:space="preserve">modelos/</w:t>
      </w:r>
      <w:r>
        <w:rPr>
          <w:rFonts w:ascii="Times New Roman" w:cs="Times New Roman" w:eastAsia="Times New Roman" w:hAnsi="Times New Roman"/>
        </w:rPr>
        <w:t xml:space="preserve"> y su huella en </w:t>
      </w:r>
      <w:r>
        <w:rPr>
          <w:rFonts w:ascii="Consolas" w:cs="Consolas" w:eastAsia="Consolas" w:hAnsi="Consolas"/>
          <w:sz w:val="21"/>
          <w:szCs w:val="21"/>
        </w:rPr>
        <w:t xml:space="preserve">configs/seleccion.json</w:t>
      </w:r>
      <w:r>
        <w:rPr>
          <w:rFonts w:ascii="Times New Roman" w:cs="Times New Roman" w:eastAsia="Times New Roman" w:hAnsi="Times New Roman"/>
        </w:rPr>
        <w:t xml:space="preserve">.</w:t>
      </w:r>
    </w:p>
    <w:p>
      <w:pPr>
        <w:pStyle w:val="ListParagraph"/>
        <w:numPr>
          <w:ilvl w:val="0"/>
          <w:numId w:val="4"/>
        </w:numPr>
        <w:spacing w:after="80" w:line="290"/>
        <w:jc w:val="both"/>
      </w:pPr>
      <w:r>
        <w:rPr>
          <w:rFonts w:ascii="Times New Roman" w:cs="Times New Roman" w:eastAsia="Times New Roman" w:hAnsi="Times New Roman"/>
          <w:b/>
          <w:bCs/>
        </w:rPr>
        <w:t xml:space="preserve">Versiones:</w:t>
      </w:r>
      <w:r>
        <w:rPr>
          <w:rFonts w:ascii="Times New Roman" w:cs="Times New Roman" w:eastAsia="Times New Roman" w:hAnsi="Times New Roman"/>
        </w:rPr>
        <w:t xml:space="preserve"> Python 3.13.5, PyTorch 2.11.0, Gymnasium 1.3.0, Stable-Baselines3 2.9.0, NumPy 2.1.3 y pandas 3.0.6 (fijadas en </w:t>
      </w:r>
      <w:r>
        <w:rPr>
          <w:rFonts w:ascii="Consolas" w:cs="Consolas" w:eastAsia="Consolas" w:hAnsi="Consolas"/>
          <w:sz w:val="21"/>
          <w:szCs w:val="21"/>
        </w:rPr>
        <w:t xml:space="preserve">uv.lock</w:t>
      </w:r>
      <w:r>
        <w:rPr>
          <w:rFonts w:ascii="Times New Roman" w:cs="Times New Roman" w:eastAsia="Times New Roman" w:hAnsi="Times New Roman"/>
        </w:rPr>
        <w:t xml:space="preserve">).</w:t>
      </w:r>
    </w:p>
    <w:p>
      <w:pPr>
        <w:pStyle w:val="Heading1"/>
        <w:keepNext/>
      </w:pPr>
      <w:r>
        <w:rPr>
          <w:rFonts w:ascii="Times New Roman" w:cs="Times New Roman" w:eastAsia="Times New Roman" w:hAnsi="Times New Roman"/>
        </w:rPr>
        <w:t xml:space="preserve">Referencias</w:t>
      </w:r>
    </w:p>
    <w:p>
      <w:pPr>
        <w:spacing w:after="120" w:line="300"/>
        <w:ind w:left="720" w:hanging="720"/>
      </w:pPr>
      <w:r>
        <w:rPr>
          <w:rFonts w:ascii="Times New Roman" w:cs="Times New Roman" w:eastAsia="Times New Roman" w:hAnsi="Times New Roman"/>
        </w:rPr>
        <w:t xml:space="preserve">ClementPerroud. (s. f.-a). </w:t>
      </w:r>
      <w:r>
        <w:rPr>
          <w:rFonts w:ascii="Times New Roman" w:cs="Times New Roman" w:eastAsia="Times New Roman" w:hAnsi="Times New Roman"/>
          <w:i/>
          <w:iCs/>
        </w:rPr>
        <w:t xml:space="preserve">Gym-Trading-Env: A simple, easy, customizable Gymnasium environment for trading</w:t>
      </w:r>
      <w:r>
        <w:rPr>
          <w:rFonts w:ascii="Times New Roman" w:cs="Times New Roman" w:eastAsia="Times New Roman" w:hAnsi="Times New Roman"/>
        </w:rPr>
        <w:t xml:space="preserve"> [Repositorio de código]. GitHub. https://github.com/ClementPerroud/Gym-Trading-Env</w:t>
      </w:r>
    </w:p>
    <w:p>
      <w:pPr>
        <w:spacing w:after="120" w:line="300"/>
        <w:ind w:left="720" w:hanging="720"/>
      </w:pPr>
      <w:r>
        <w:rPr>
          <w:rFonts w:ascii="Times New Roman" w:cs="Times New Roman" w:eastAsia="Times New Roman" w:hAnsi="Times New Roman"/>
        </w:rPr>
        <w:t xml:space="preserve">ClementPerroud. (s. f.-b). </w:t>
      </w:r>
      <w:r>
        <w:rPr>
          <w:rFonts w:ascii="Times New Roman" w:cs="Times New Roman" w:eastAsia="Times New Roman" w:hAnsi="Times New Roman"/>
          <w:i/>
          <w:iCs/>
        </w:rPr>
        <w:t xml:space="preserve">BTC_USD-Hourly.csv</w:t>
      </w:r>
      <w:r>
        <w:rPr>
          <w:rFonts w:ascii="Times New Roman" w:cs="Times New Roman" w:eastAsia="Times New Roman" w:hAnsi="Times New Roman"/>
        </w:rPr>
        <w:t xml:space="preserve"> [Conjunto de datos]. GitHub. https://raw.githubusercontent.com/ClementPerroud/Gym-Trading-Env/main/examples/data/BTC_USD-Hourly.csv</w:t>
      </w:r>
    </w:p>
    <w:p>
      <w:pPr>
        <w:spacing w:after="120" w:line="300"/>
        <w:ind w:left="720" w:hanging="720"/>
      </w:pPr>
      <w:r>
        <w:rPr>
          <w:rFonts w:ascii="Times New Roman" w:cs="Times New Roman" w:eastAsia="Times New Roman" w:hAnsi="Times New Roman"/>
        </w:rPr>
        <w:t xml:space="preserve">Farama Foundation. (s. f.). </w:t>
      </w:r>
      <w:r>
        <w:rPr>
          <w:rFonts w:ascii="Times New Roman" w:cs="Times New Roman" w:eastAsia="Times New Roman" w:hAnsi="Times New Roman"/>
          <w:i/>
          <w:iCs/>
        </w:rPr>
        <w:t xml:space="preserve">Gymnasium documentation</w:t>
      </w:r>
      <w:r>
        <w:rPr>
          <w:rFonts w:ascii="Times New Roman" w:cs="Times New Roman" w:eastAsia="Times New Roman" w:hAnsi="Times New Roman"/>
        </w:rPr>
        <w:t xml:space="preserve">. https://gymnasium.farama.org/</w:t>
      </w:r>
    </w:p>
    <w:p>
      <w:pPr>
        <w:spacing w:after="120" w:line="300"/>
        <w:ind w:left="720" w:hanging="720"/>
      </w:pPr>
      <w:r>
        <w:rPr>
          <w:rFonts w:ascii="Times New Roman" w:cs="Times New Roman" w:eastAsia="Times New Roman" w:hAnsi="Times New Roman"/>
        </w:rPr>
        <w:t xml:space="preserve">Mnih, V., Kavukcuoglu, K., Silver, D., Rusu, A. A., Veness, J., Bellemare, M. G., Graves, A., Riedmiller, M., Fidjeland, A. K., Ostrovski, G., Petersen, S., Beattie, C., Sadik, A., Antonoglou, I., King, H., Kumaran, D., Wierstra, D., Legg, S., y Hassabis, D. (2015). Human-level control through deep reinforcement learning. </w:t>
      </w:r>
      <w:r>
        <w:rPr>
          <w:rFonts w:ascii="Times New Roman" w:cs="Times New Roman" w:eastAsia="Times New Roman" w:hAnsi="Times New Roman"/>
          <w:i/>
          <w:iCs/>
        </w:rPr>
        <w:t xml:space="preserve">Nature, 518</w:t>
      </w:r>
      <w:r>
        <w:rPr>
          <w:rFonts w:ascii="Times New Roman" w:cs="Times New Roman" w:eastAsia="Times New Roman" w:hAnsi="Times New Roman"/>
        </w:rPr>
        <w:t xml:space="preserve">(7540), 529–533. https://doi.org/10.1038/nature14236</w:t>
      </w:r>
    </w:p>
    <w:p>
      <w:pPr>
        <w:spacing w:after="120" w:line="300"/>
        <w:ind w:left="720" w:hanging="720"/>
      </w:pPr>
      <w:r>
        <w:rPr>
          <w:rFonts w:ascii="Times New Roman" w:cs="Times New Roman" w:eastAsia="Times New Roman" w:hAnsi="Times New Roman"/>
        </w:rPr>
        <w:t xml:space="preserve">Raffin, A., Hill, A., Gleave, A., Kanervisto, A., Ernestus, M., y Dormann, N. (2021). Stable-Baselines3: Reliable reinforcement learning implementations. </w:t>
      </w:r>
      <w:r>
        <w:rPr>
          <w:rFonts w:ascii="Times New Roman" w:cs="Times New Roman" w:eastAsia="Times New Roman" w:hAnsi="Times New Roman"/>
          <w:i/>
          <w:iCs/>
        </w:rPr>
        <w:t xml:space="preserve">Journal of Machine Learning Research, 22</w:t>
      </w:r>
      <w:r>
        <w:rPr>
          <w:rFonts w:ascii="Times New Roman" w:cs="Times New Roman" w:eastAsia="Times New Roman" w:hAnsi="Times New Roman"/>
        </w:rPr>
        <w:t xml:space="preserve">(268), 1–8. http://jmlr.org/papers/v22/20-1364.html</w:t>
      </w:r>
    </w:p>
    <w:p>
      <w:pPr>
        <w:spacing w:after="120" w:line="300"/>
        <w:ind w:left="720" w:hanging="720"/>
      </w:pPr>
      <w:r>
        <w:rPr>
          <w:rFonts w:ascii="Times New Roman" w:cs="Times New Roman" w:eastAsia="Times New Roman" w:hAnsi="Times New Roman"/>
        </w:rPr>
        <w:t xml:space="preserve">Schulman, J., Wolski, F., Dhariwal, P., Radford, A., y Klimov, O. (2017). </w:t>
      </w:r>
      <w:r>
        <w:rPr>
          <w:rFonts w:ascii="Times New Roman" w:cs="Times New Roman" w:eastAsia="Times New Roman" w:hAnsi="Times New Roman"/>
          <w:i/>
          <w:iCs/>
        </w:rPr>
        <w:t xml:space="preserve">Proximal policy optimization algorithms</w:t>
      </w:r>
      <w:r>
        <w:rPr>
          <w:rFonts w:ascii="Times New Roman" w:cs="Times New Roman" w:eastAsia="Times New Roman" w:hAnsi="Times New Roman"/>
        </w:rPr>
        <w:t xml:space="preserve"> (arXiv:1707.06347). arXiv. https://doi.org/10.48550/arXiv.1707.06347</w:t>
      </w:r>
    </w:p>
    <w:p>
      <w:pPr>
        <w:spacing w:after="120" w:line="300"/>
        <w:ind w:left="720" w:hanging="720"/>
      </w:pPr>
      <w:r>
        <w:rPr>
          <w:rFonts w:ascii="Times New Roman" w:cs="Times New Roman" w:eastAsia="Times New Roman" w:hAnsi="Times New Roman"/>
        </w:rPr>
        <w:t xml:space="preserve">Sutton, R. S., y Barto, A. G. (2018). </w:t>
      </w:r>
      <w:r>
        <w:rPr>
          <w:rFonts w:ascii="Times New Roman" w:cs="Times New Roman" w:eastAsia="Times New Roman" w:hAnsi="Times New Roman"/>
          <w:i/>
          <w:iCs/>
        </w:rPr>
        <w:t xml:space="preserve">Reinforcement learning: An introduction</w:t>
      </w:r>
      <w:r>
        <w:rPr>
          <w:rFonts w:ascii="Times New Roman" w:cs="Times New Roman" w:eastAsia="Times New Roman" w:hAnsi="Times New Roman"/>
        </w:rPr>
        <w:t xml:space="preserve"> (2.ª ed.). MIT Press.</w:t>
      </w:r>
    </w:p>
    <w:p>
      <w:r>
        <w:br w:type="page"/>
      </w:r>
    </w:p>
    <w:p>
      <w:pPr>
        <w:pStyle w:val="Heading1"/>
        <w:keepNext/>
      </w:pPr>
      <w:r>
        <w:rPr>
          <w:rFonts w:ascii="Times New Roman" w:cs="Times New Roman" w:eastAsia="Times New Roman" w:hAnsi="Times New Roman"/>
        </w:rPr>
        <w:t xml:space="preserve">Anexo A. Primera versión del agente</w:t>
      </w:r>
    </w:p>
    <w:p>
      <w:pPr>
        <w:spacing w:after="140" w:line="300"/>
        <w:jc w:val="left"/>
      </w:pPr>
      <w:r>
        <w:rPr>
          <w:rFonts w:ascii="Times New Roman" w:cs="Times New Roman" w:eastAsia="Times New Roman" w:hAnsi="Times New Roman"/>
        </w:rPr>
        <w:t xml:space="preserve">Antes del diseño final, el proyecto tuvo una primera versión: un DQN escrito directamente en PyTorch sobre un entorno con acciones {mantener, vender, comprar}. El notebook de esa versión se conserva como registro en </w:t>
      </w:r>
      <w:r>
        <w:rPr>
          <w:rFonts w:ascii="Consolas" w:cs="Consolas" w:eastAsia="Consolas" w:hAnsi="Consolas"/>
          <w:sz w:val="21"/>
          <w:szCs w:val="21"/>
        </w:rPr>
        <w:t xml:space="preserve">notebooks/historico/primera_version.ipynb</w:t>
      </w:r>
      <w:r>
        <w:rPr>
          <w:rFonts w:ascii="Times New Roman" w:cs="Times New Roman" w:eastAsia="Times New Roman" w:hAnsi="Times New Roman"/>
        </w:rPr>
        <w:t xml:space="preserve"> (secciones 17 a 19). Sus resultados y lecciones fueron:</w:t>
      </w:r>
    </w:p>
    <w:p>
      <w:pPr>
        <w:pStyle w:val="ListParagraph"/>
        <w:numPr>
          <w:ilvl w:val="0"/>
          <w:numId w:val="4"/>
        </w:numPr>
        <w:spacing w:after="80" w:line="290"/>
        <w:jc w:val="both"/>
      </w:pPr>
      <w:r>
        <w:rPr>
          <w:rFonts w:ascii="Times New Roman" w:cs="Times New Roman" w:eastAsia="Times New Roman" w:hAnsi="Times New Roman"/>
        </w:rPr>
        <w:t xml:space="preserve">Se entrenó 5 episodios con ε reducido 0,995 por episodio: ε terminó en 0,975, así que el agente actuó al azar casi todo el entrenamiento (capital final por episodio entre 6,73 y 26,01 USD).</w:t>
      </w:r>
    </w:p>
    <w:p>
      <w:pPr>
        <w:pStyle w:val="ListParagraph"/>
        <w:numPr>
          <w:ilvl w:val="0"/>
          <w:numId w:val="4"/>
        </w:numPr>
        <w:spacing w:after="80" w:line="290"/>
        <w:jc w:val="both"/>
      </w:pPr>
      <w:r>
        <w:rPr>
          <w:rFonts w:ascii="Times New Roman" w:cs="Times New Roman" w:eastAsia="Times New Roman" w:hAnsi="Times New Roman"/>
        </w:rPr>
        <w:t xml:space="preserve">El diagnóstico encontró neuronas ReLU inactivas en la segunda capa: los valores Q eran iguales en todos los estados y la red elegía «comprar» en 9.969 de 9.970 horas. Se probó LeakyReLU y los gradientes volvieron a todas las capas.</w:t>
      </w:r>
    </w:p>
    <w:p>
      <w:pPr>
        <w:pStyle w:val="ListParagraph"/>
        <w:numPr>
          <w:ilvl w:val="0"/>
          <w:numId w:val="4"/>
        </w:numPr>
        <w:spacing w:after="80" w:line="290"/>
        <w:jc w:val="both"/>
      </w:pPr>
      <w:r>
        <w:rPr>
          <w:rFonts w:ascii="Times New Roman" w:cs="Times New Roman" w:eastAsia="Times New Roman" w:hAnsi="Times New Roman"/>
        </w:rPr>
        <w:t xml:space="preserve">En la prueba, el DQN con ReLU terminó en 9.956,18 USD (−0,44 %) con drawdown de −57,51 %: era, en la práctica, comprar y mantener con dos compras y una venta de más.</w:t>
      </w:r>
    </w:p>
    <w:p>
      <w:pPr>
        <w:pStyle w:val="ListParagraph"/>
        <w:numPr>
          <w:ilvl w:val="0"/>
          <w:numId w:val="4"/>
        </w:numPr>
        <w:spacing w:after="80" w:line="290"/>
        <w:jc w:val="both"/>
      </w:pPr>
      <w:r>
        <w:rPr>
          <w:rFonts w:ascii="Times New Roman" w:cs="Times New Roman" w:eastAsia="Times New Roman" w:hAnsi="Times New Roman"/>
        </w:rPr>
        <w:t xml:space="preserve">El DQN con LeakyReLU quedó registrado con tres resultados distintos: −0,44 %, +0,11 % y +34,98 %. La diferencia se debe a que las semillas no se volvían a fijar antes de su entrenamiento. El código que produjo la cifra de +34,98 % no se conservó, por lo que no se pudo reproducir.</w:t>
      </w:r>
    </w:p>
    <w:p>
      <w:pPr>
        <w:pStyle w:val="ListParagraph"/>
        <w:numPr>
          <w:ilvl w:val="0"/>
          <w:numId w:val="4"/>
        </w:numPr>
        <w:spacing w:after="80" w:line="290"/>
        <w:jc w:val="both"/>
      </w:pPr>
      <w:r>
        <w:rPr>
          <w:rFonts w:ascii="Times New Roman" w:cs="Times New Roman" w:eastAsia="Times New Roman" w:hAnsi="Times New Roman"/>
        </w:rPr>
        <w:t xml:space="preserve">Una segunda prueba ya con Stable-Baselines3 y exposiciones 0/50/100 % (sección 19 del notebook) dio +325,33 % en validación, por debajo de comprar y mantener en ese periodo (+348,90 %) y con el mismo drawdown (−19,90 %).</w:t>
      </w:r>
    </w:p>
    <w:p>
      <w:pPr>
        <w:spacing w:after="140" w:line="300"/>
        <w:jc w:val="both"/>
      </w:pPr>
      <w:r>
        <w:rPr>
          <w:rFonts w:ascii="Times New Roman" w:cs="Times New Roman" w:eastAsia="Times New Roman" w:hAnsi="Times New Roman"/>
        </w:rPr>
        <w:t xml:space="preserve">Estas lecciones llevaron a las decisiones del diseño final: usar Stable-Baselines3 con exploración por pasos y no por episodio, trabajar con exposiciones objetivo, fijar las semillas en un solo lugar del código, separar un periodo de validación y generar todas las cifras del informe desde el código.</w:t>
      </w:r>
    </w:p>
    <w:sectPr>
      <w:footerReference w:type="default" r:id="rId6"/>
      <w:footerReference w:type="first" r:id="rId7"/>
      <w:pgSz w:w="12240" w:h="15840" w:orient="portrait"/>
      <w:pgMar w:top="1417" w:right="1701" w:bottom="1417" w:left="1701"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r>
    <w:r>
      <w:rPr>
        <w:rFonts w:ascii="Times New Roman" w:cs="Times New Roman" w:eastAsia="Times New Roman" w:hAnsi="Times New Roman"/>
        <w:sz w:val="20"/>
        <w:szCs w:val="20"/>
      </w:rPr>
      <w:instrText xml:space="preserve">PAGE</w:instrText>
    </w:r>
    <w:r>
      <w:rPr>
        <w:rFonts w:ascii="Times New Roman" w:cs="Times New Roman" w:eastAsia="Times New Roman" w:hAnsi="Times New Roman"/>
        <w:sz w:val="20"/>
        <w:szCs w:val="20"/>
      </w:rPr>
      <w:fldChar w:fldCharType="separate"/>
    </w:r>
    <w:r>
      <w:rPr>
        <w:rFonts w:ascii="Times New Roman" w:cs="Times New Roman" w:eastAsia="Times New Roman" w:hAnsi="Times New Roman"/>
        <w:sz w:val="20"/>
        <w:szCs w:val="20"/>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300"/>
      </w:pPr>
    </w:lvl>
    <w:lvl w:ilvl="1" w:tentative="1">
      <w:start w:val="1"/>
      <w:numFmt w:val="bullet"/>
      <w:lvlText w:val="–"/>
      <w:lvlJc w:val="left"/>
      <w:pPr>
        <w:ind w:left="1080" w:hanging="300"/>
      </w:pPr>
    </w:lvl>
  </w:abstractNum>
  <w:abstractNum w:abstractNumId="3" w15:restartNumberingAfterBreak="0">
    <w:multiLevelType w:val="hybridMultilevel"/>
    <w:lvl w:ilvl="0" w:tentative="1">
      <w:start w:val="1"/>
      <w:numFmt w:val="decimal"/>
      <w:lvlText w:val="%1."/>
      <w:lvlJc w:val="left"/>
      <w:pPr>
        <w:ind w:left="540" w:hanging="360"/>
      </w:pPr>
      <w:rPr>
        <w:rFonts w:ascii="Times New Roman" w:cs="Times New Roman" w:eastAsia="Times New Roman" w:hAnsi="Times New Roman"/>
      </w:rPr>
    </w:lvl>
  </w:abstractNum>
  <w:abstractNum w:abstractNumId="4" w15:restartNumberingAfterBreak="0">
    <w:multiLevelType w:val="hybridMultilevel"/>
    <w:lvl w:ilvl="0" w:tentative="1">
      <w:start w:val="1"/>
      <w:numFmt w:val="decimal"/>
      <w:lvlText w:val="%1."/>
      <w:lvlJc w:val="left"/>
      <w:pPr>
        <w:ind w:left="540" w:hanging="360"/>
      </w:pPr>
      <w:rPr>
        <w:rFonts w:ascii="Times New Roman" w:cs="Times New Roman" w:eastAsia="Times New Roman" w:hAnsi="Times New Roman"/>
      </w:rPr>
    </w:lvl>
  </w:abstractNum>
  <w:abstractNum w:abstractNumId="5" w15:restartNumberingAfterBreak="0">
    <w:multiLevelType w:val="hybridMultilevel"/>
    <w:lvl w:ilvl="0" w:tentative="1">
      <w:start w:val="1"/>
      <w:numFmt w:val="decimal"/>
      <w:lvlText w:val="%1."/>
      <w:lvlJc w:val="left"/>
      <w:pPr>
        <w:ind w:left="540" w:hanging="360"/>
      </w:pPr>
      <w:rPr>
        <w:rFonts w:ascii="Times New Roman" w:cs="Times New Roman" w:eastAsia="Times New Roman" w:hAnsi="Times New Roman"/>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lvlOverride w:ilvl="1">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color w:val="000000"/>
      <w:sz w:val="24"/>
      <w:szCs w:val="24"/>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i/>
      <w:iCs/>
      <w:color w:val="000000"/>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theme" Target="theme/theme1.xml"/><Relationship Id="rIdjbppah9c_yktotvhdevpu" Type="http://schemas.openxmlformats.org/officeDocument/2006/relationships/hyperlink" Target="https://github.com/dsiriarte/agente-inversor-btc" TargetMode="External"/><Relationship Id="rId10" Type="http://schemas.openxmlformats.org/officeDocument/2006/relationships/image" Target="media/495700aeb6c4051cafa6a63b64592bb829ef51c5.png"/><Relationship Id="rId11" Type="http://schemas.openxmlformats.org/officeDocument/2006/relationships/image" Target="media/9e249ce27c283b67764627a682f310405a75b2b1.png"/><Relationship Id="rId12" Type="http://schemas.openxmlformats.org/officeDocument/2006/relationships/image" Target="media/80197eec02913fdd50c0e78b5ed00bcf3891884d.png"/><Relationship Id="rId13" Type="http://schemas.openxmlformats.org/officeDocument/2006/relationships/image" Target="media/1643348ff5de045f638e03d559edce844a10f698.png"/><Relationship Id="rId14" Type="http://schemas.openxmlformats.org/officeDocument/2006/relationships/image" Target="media/2f09a8b3693839a0c327d8090fafffa545a297fe.png"/><Relationship Id="rId15" Type="http://schemas.openxmlformats.org/officeDocument/2006/relationships/image" Target="media/770a82789b5d80fe32b777607936d3062f0b59b3.png"/><Relationship Id="rId16" Type="http://schemas.openxmlformats.org/officeDocument/2006/relationships/image" Target="media/7c87d452e0b0e4a1f370eed0d98df2478bc74950.png"/><Relationship Id="rId17" Type="http://schemas.openxmlformats.org/officeDocument/2006/relationships/image" Target="media/c8259921bc34d45b63db0f3e08e17c71cbdcd1f9.png"/><Relationship Id="rId18" Type="http://schemas.openxmlformats.org/officeDocument/2006/relationships/image" Target="media/935f60b515a8237067dae510cdff658290731c5a.png"/><Relationship Id="rId19" Type="http://schemas.openxmlformats.org/officeDocument/2006/relationships/image" Target="media/298d80b697da0db73860fe062aff19ac7315382c.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Agente inversor: estrategia de inversión en BTC/USD con aprendizaje por refuerzo</dc:title>
  <dc:creator>Grupo 4</dc:creator>
  <dc:description>Informe del proyecto final, Simulación y Aprendizaje por Refuerzo MIA 2026-5</dc:description>
  <cp:lastModifiedBy>Un-named</cp:lastModifiedBy>
  <cp:revision>1</cp:revision>
  <dcterms:created xsi:type="dcterms:W3CDTF">2026-10-21T04:36:54.492Z</dcterms:created>
  <dcterms:modified xsi:type="dcterms:W3CDTF">2026-10-21T04:36:54.497Z</dcterms:modified>
</cp:coreProperties>
</file>

<file path=docProps/custom.xml><?xml version="1.0" encoding="utf-8"?>
<Properties xmlns="http://schemas.openxmlformats.org/officeDocument/2006/custom-properties" xmlns:vt="http://schemas.openxmlformats.org/officeDocument/2006/docPropsVTypes"/>
</file>