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400" w:type="dxa"/>
          <w:bottom w:w="700" w:type="dxa"/>
          <w:end w:w="400" w:type="dxa"/>
        </w:tblCellMar>
      </w:tblPr>
      <w:tblGrid>
        <w:gridCol w:w="9026"/>
      </w:tblGrid>
      <w:tr>
        <w:trPr/>
        <w:tc>
          <w:tcPr>
            <w:tcW w:w="9026" w:type="dxa"/>
            <w:tcBorders/>
            <w:shd w:fill="0D1B2A" w:val="clear"/>
            <w:vAlign w:val="center"/>
          </w:tcPr>
          <w:p>
            <w:pPr>
              <w:pStyle w:val="Normal"/>
              <w:spacing w:before="0" w:after="80"/>
              <w:jc w:val="center"/>
              <w:rPr/>
            </w:pPr>
            <w:r>
              <w:rPr>
                <w:rFonts w:eastAsia="Calibri" w:cs="Calibri"/>
                <w:color w:val="7FC8F8"/>
                <w:sz w:val="22"/>
                <w:szCs w:val="22"/>
              </w:rPr>
              <w:t xml:space="preserve">🖥️  </w:t>
            </w:r>
            <w:r>
              <w:rPr>
                <w:rFonts w:eastAsia="Calibri" w:cs="Calibri"/>
                <w:color w:val="7FC8F8"/>
                <w:sz w:val="22"/>
                <w:szCs w:val="22"/>
              </w:rPr>
              <w:t>Active Directory Domain Services</w:t>
            </w:r>
          </w:p>
          <w:p>
            <w:pPr>
              <w:pStyle w:val="Normal"/>
              <w:spacing w:before="0" w:after="120"/>
              <w:jc w:val="center"/>
              <w:rPr/>
            </w:pPr>
            <w:r>
              <w:rPr>
                <w:rFonts w:eastAsia="Calibri" w:cs="Calibri"/>
                <w:b/>
                <w:bCs/>
                <w:color w:val="FFFFFF"/>
                <w:sz w:val="52"/>
                <w:szCs w:val="52"/>
              </w:rPr>
              <w:t>Documentation Technique</w:t>
            </w:r>
          </w:p>
          <w:p>
            <w:pPr>
              <w:pStyle w:val="Normal"/>
              <w:spacing w:before="0" w:after="0"/>
              <w:jc w:val="center"/>
              <w:rPr/>
            </w:pPr>
            <w:r>
              <w:rPr>
                <w:rFonts w:eastAsia="Calibri" w:cs="Calibri"/>
                <w:color w:val="0078D4"/>
                <w:sz w:val="30"/>
                <w:szCs w:val="30"/>
              </w:rPr>
              <w:t>Windows Server 2022 — Projet IUT-O</w:t>
            </w:r>
          </w:p>
        </w:tc>
      </w:tr>
    </w:tbl>
    <w:p>
      <w:pPr>
        <w:pStyle w:val="Normal"/>
        <w:spacing w:before="0" w:after="0"/>
        <w:rPr/>
      </w:pPr>
      <w:r>
        <w:rPr/>
      </w:r>
    </w:p>
    <w:p>
      <w:pPr>
        <w:pStyle w:val="Normal"/>
        <w:spacing w:before="0" w:after="0"/>
        <w:rPr/>
      </w:pPr>
      <w:r>
        <w:rPr/>
      </w:r>
    </w:p>
    <w:tbl>
      <w:tblPr>
        <w:tblW w:w="9026" w:type="dxa"/>
        <w:jc w:val="start"/>
        <w:tblInd w:w="0" w:type="dxa"/>
        <w:tblLayout w:type="fixed"/>
        <w:tblCellMar>
          <w:top w:w="80" w:type="dxa"/>
          <w:start w:w="120" w:type="dxa"/>
          <w:bottom w:w="80" w:type="dxa"/>
          <w:end w:w="120" w:type="dxa"/>
        </w:tblCellMar>
      </w:tblPr>
      <w:tblGrid>
        <w:gridCol w:w="2600"/>
        <w:gridCol w:w="6426"/>
      </w:tblGrid>
      <w:tr>
        <w:trPr/>
        <w:tc>
          <w:tcPr>
            <w:tcW w:w="2600"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20"/>
                <w:szCs w:val="20"/>
              </w:rPr>
              <w:t>Auteur</w:t>
            </w:r>
          </w:p>
        </w:tc>
        <w:tc>
          <w:tcPr>
            <w:tcW w:w="6426" w:type="dxa"/>
            <w:tcBorders>
              <w:top w:val="single" w:sz="4" w:space="0" w:color="D0D7DE"/>
              <w:start w:val="single" w:sz="4" w:space="0" w:color="D0D7DE"/>
              <w:bottom w:val="single" w:sz="4" w:space="0" w:color="D0D7DE"/>
              <w:end w:val="single" w:sz="4" w:space="0" w:color="D0D7DE"/>
            </w:tcBorders>
            <w:shd w:fill="F3F4F6" w:val="clear"/>
          </w:tcPr>
          <w:p>
            <w:pPr>
              <w:pStyle w:val="Normal"/>
              <w:rPr/>
            </w:pPr>
            <w:r>
              <w:rPr>
                <w:rFonts w:eastAsia="Calibri" w:cs="Calibri"/>
                <w:color w:val="1F2937"/>
                <w:sz w:val="20"/>
                <w:szCs w:val="20"/>
              </w:rPr>
              <w:t>DESJARDINS Julien</w:t>
            </w:r>
          </w:p>
        </w:tc>
      </w:tr>
      <w:tr>
        <w:trPr/>
        <w:tc>
          <w:tcPr>
            <w:tcW w:w="2600"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20"/>
                <w:szCs w:val="20"/>
              </w:rPr>
              <w:t>Formation</w:t>
            </w:r>
          </w:p>
        </w:tc>
        <w:tc>
          <w:tcPr>
            <w:tcW w:w="6426" w:type="dxa"/>
            <w:tcBorders>
              <w:top w:val="single" w:sz="4" w:space="0" w:color="D0D7DE"/>
              <w:start w:val="single" w:sz="4" w:space="0" w:color="D0D7DE"/>
              <w:bottom w:val="single" w:sz="4" w:space="0" w:color="D0D7DE"/>
              <w:end w:val="single" w:sz="4" w:space="0" w:color="D0D7DE"/>
            </w:tcBorders>
            <w:shd w:fill="FFFFFF" w:val="clear"/>
          </w:tcPr>
          <w:p>
            <w:pPr>
              <w:pStyle w:val="Normal"/>
              <w:rPr/>
            </w:pPr>
            <w:r>
              <w:rPr>
                <w:rFonts w:eastAsia="Calibri" w:cs="Calibri"/>
                <w:color w:val="1F2937"/>
                <w:sz w:val="20"/>
                <w:szCs w:val="20"/>
              </w:rPr>
              <w:t>BTS SIO — Option SISR</w:t>
            </w:r>
          </w:p>
        </w:tc>
      </w:tr>
      <w:tr>
        <w:trPr/>
        <w:tc>
          <w:tcPr>
            <w:tcW w:w="2600"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20"/>
                <w:szCs w:val="20"/>
              </w:rPr>
              <w:t>Domaine</w:t>
            </w:r>
          </w:p>
        </w:tc>
        <w:tc>
          <w:tcPr>
            <w:tcW w:w="6426" w:type="dxa"/>
            <w:tcBorders>
              <w:top w:val="single" w:sz="4" w:space="0" w:color="D0D7DE"/>
              <w:start w:val="single" w:sz="4" w:space="0" w:color="D0D7DE"/>
              <w:bottom w:val="single" w:sz="4" w:space="0" w:color="D0D7DE"/>
              <w:end w:val="single" w:sz="4" w:space="0" w:color="D0D7DE"/>
            </w:tcBorders>
            <w:shd w:fill="F3F4F6" w:val="clear"/>
          </w:tcPr>
          <w:p>
            <w:pPr>
              <w:pStyle w:val="Normal"/>
              <w:rPr/>
            </w:pPr>
            <w:r>
              <w:rPr>
                <w:rFonts w:eastAsia="Calibri" w:cs="Calibri"/>
                <w:color w:val="1F2937"/>
                <w:sz w:val="20"/>
                <w:szCs w:val="20"/>
              </w:rPr>
              <w:t>IUTO109.com</w:t>
            </w:r>
          </w:p>
        </w:tc>
      </w:tr>
      <w:tr>
        <w:trPr/>
        <w:tc>
          <w:tcPr>
            <w:tcW w:w="2600"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20"/>
                <w:szCs w:val="20"/>
              </w:rPr>
              <w:t>Système</w:t>
            </w:r>
          </w:p>
        </w:tc>
        <w:tc>
          <w:tcPr>
            <w:tcW w:w="6426" w:type="dxa"/>
            <w:tcBorders>
              <w:top w:val="single" w:sz="4" w:space="0" w:color="D0D7DE"/>
              <w:start w:val="single" w:sz="4" w:space="0" w:color="D0D7DE"/>
              <w:bottom w:val="single" w:sz="4" w:space="0" w:color="D0D7DE"/>
              <w:end w:val="single" w:sz="4" w:space="0" w:color="D0D7DE"/>
            </w:tcBorders>
            <w:shd w:fill="FFFFFF" w:val="clear"/>
          </w:tcPr>
          <w:p>
            <w:pPr>
              <w:pStyle w:val="Normal"/>
              <w:rPr/>
            </w:pPr>
            <w:r>
              <w:rPr>
                <w:rFonts w:eastAsia="Calibri" w:cs="Calibri"/>
                <w:color w:val="1F2937"/>
                <w:sz w:val="20"/>
                <w:szCs w:val="20"/>
              </w:rPr>
              <w:t>Windows Server 2022</w:t>
            </w:r>
          </w:p>
        </w:tc>
      </w:tr>
      <w:tr>
        <w:trPr/>
        <w:tc>
          <w:tcPr>
            <w:tcW w:w="2600"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20"/>
                <w:szCs w:val="20"/>
              </w:rPr>
              <w:t>Date</w:t>
            </w:r>
          </w:p>
        </w:tc>
        <w:tc>
          <w:tcPr>
            <w:tcW w:w="6426" w:type="dxa"/>
            <w:tcBorders>
              <w:top w:val="single" w:sz="4" w:space="0" w:color="D0D7DE"/>
              <w:start w:val="single" w:sz="4" w:space="0" w:color="D0D7DE"/>
              <w:bottom w:val="single" w:sz="4" w:space="0" w:color="D0D7DE"/>
              <w:end w:val="single" w:sz="4" w:space="0" w:color="D0D7DE"/>
            </w:tcBorders>
            <w:shd w:fill="F3F4F6" w:val="clear"/>
          </w:tcPr>
          <w:p>
            <w:pPr>
              <w:pStyle w:val="Normal"/>
              <w:rPr/>
            </w:pPr>
            <w:r>
              <w:rPr>
                <w:rFonts w:eastAsia="Calibri" w:cs="Calibri"/>
                <w:color w:val="1F2937"/>
                <w:sz w:val="20"/>
                <w:szCs w:val="20"/>
              </w:rPr>
              <w:t>Juin 2026</w:t>
            </w:r>
          </w:p>
        </w:tc>
      </w:tr>
      <w:tr>
        <w:trPr/>
        <w:tc>
          <w:tcPr>
            <w:tcW w:w="2600"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20"/>
                <w:szCs w:val="20"/>
              </w:rPr>
              <w:t>Version</w:t>
            </w:r>
          </w:p>
        </w:tc>
        <w:tc>
          <w:tcPr>
            <w:tcW w:w="6426" w:type="dxa"/>
            <w:tcBorders>
              <w:top w:val="single" w:sz="4" w:space="0" w:color="D0D7DE"/>
              <w:start w:val="single" w:sz="4" w:space="0" w:color="D0D7DE"/>
              <w:bottom w:val="single" w:sz="4" w:space="0" w:color="D0D7DE"/>
              <w:end w:val="single" w:sz="4" w:space="0" w:color="D0D7DE"/>
            </w:tcBorders>
            <w:shd w:fill="FFFFFF" w:val="clear"/>
          </w:tcPr>
          <w:p>
            <w:pPr>
              <w:pStyle w:val="Normal"/>
              <w:rPr/>
            </w:pPr>
            <w:r>
              <w:rPr>
                <w:rFonts w:eastAsia="Calibri" w:cs="Calibri"/>
                <w:color w:val="1F2937"/>
                <w:sz w:val="20"/>
                <w:szCs w:val="20"/>
              </w:rPr>
              <w:t>1.0</w:t>
            </w:r>
          </w:p>
        </w:tc>
      </w:tr>
    </w:tbl>
    <w:p>
      <w:pPr>
        <w:pStyle w:val="Normal"/>
        <w:spacing w:before="0" w:after="0"/>
        <w:rPr/>
      </w:pPr>
      <w:r>
        <w:rPr/>
      </w:r>
    </w:p>
    <w:p>
      <w:pPr>
        <w:pStyle w:val="Normal"/>
        <w:spacing w:before="0" w:after="0"/>
        <w:rPr/>
      </w:pPr>
      <w:r>
        <w:rPr/>
      </w:r>
    </w:p>
    <w:p>
      <w:pPr>
        <w:pStyle w:val="Normal"/>
        <w:spacing w:lineRule="auto" w:line="281" w:before="80" w:after="100"/>
        <w:jc w:val="both"/>
        <w:rPr/>
      </w:pPr>
      <w:r>
        <w:rPr>
          <w:rFonts w:eastAsia="Calibri" w:cs="Calibri"/>
          <w:b w:val="false"/>
          <w:bCs w:val="false"/>
          <w:i/>
          <w:iCs/>
          <w:color w:val="6B7280"/>
          <w:sz w:val="20"/>
          <w:szCs w:val="20"/>
        </w:rPr>
        <w:t>Ce document décrit la mise en place complète d'un service Active Directory Domain Services (AD DS) sous Windows Server 2022 dans le cadre du projet IUT-O. Il couvre l'installation du contrôleur de domaine, la création automatisée des utilisateurs via PowerShell, la gestion des dossiers partagés avec les sécurités NTFS et réseau, la configuration des GPO ainsi que la redirection de dossiers.</w:t>
      </w:r>
    </w:p>
    <w:p>
      <w:pPr>
        <w:pStyle w:val="Normal"/>
        <w:spacing w:before="0" w:after="0"/>
        <w:rPr/>
        <w:sectPr>
          <w:type w:val="nextPage"/>
          <w:pgSz w:w="11906" w:h="16838"/>
          <w:pgMar w:left="1134" w:right="1134" w:gutter="0" w:header="0" w:top="1134" w:footer="0" w:bottom="1134"/>
          <w:pgNumType w:fmt="decimal"/>
          <w:formProt w:val="false"/>
          <w:textDirection w:val="lrTb"/>
          <w:docGrid w:type="default" w:linePitch="360" w:charSpace="0"/>
        </w:sectPr>
      </w:pPr>
      <w:r>
        <w:rPr/>
      </w:r>
      <w:r>
        <w:br w:type="page"/>
      </w:r>
    </w:p>
    <w:p>
      <w:pPr>
        <w:pStyle w:val="Heading1"/>
        <w:pBdr>
          <w:bottom w:val="single" w:sz="8" w:space="4" w:color="0078D4"/>
        </w:pBdr>
        <w:spacing w:before="320" w:after="140"/>
        <w:rPr/>
      </w:pPr>
      <w:r>
        <w:rPr>
          <w:rFonts w:eastAsia="Calibri" w:cs="Calibri" w:ascii="Calibri" w:hAnsi="Calibri"/>
          <w:b/>
          <w:bCs/>
          <w:color w:val="1A3A5C"/>
          <w:sz w:val="34"/>
          <w:szCs w:val="34"/>
        </w:rPr>
        <w:t>Sommaire</w:t>
      </w:r>
    </w:p>
    <w:p>
      <w:pPr>
        <w:pStyle w:val="Normal"/>
        <w:spacing w:before="0" w:after="0"/>
        <w:rPr/>
      </w:pPr>
      <w:r>
        <w:rPr/>
      </w:r>
    </w:p>
    <w:p>
      <w:pPr>
        <w:pStyle w:val="Normal"/>
        <w:tabs>
          <w:tab w:val="clear" w:pos="720"/>
          <w:tab w:val="right" w:pos="9026" w:leader="dot"/>
        </w:tabs>
        <w:spacing w:before="100" w:after="0"/>
        <w:rPr/>
      </w:pPr>
      <w:r>
        <w:rPr>
          <w:rFonts w:eastAsia="Calibri" w:cs="Calibri"/>
          <w:b/>
          <w:bCs/>
          <w:color w:val="1A3A5C"/>
          <w:sz w:val="22"/>
          <w:szCs w:val="22"/>
        </w:rPr>
        <w:t>1.  Prérequis et préparation du serveur</w:t>
      </w:r>
      <w:r>
        <w:rPr>
          <w:rFonts w:eastAsia="Calibri" w:cs="Calibri"/>
          <w:color w:val="6B7280"/>
          <w:sz w:val="22"/>
          <w:szCs w:val="22"/>
        </w:rPr>
        <w:tab/>
        <w:t>3</w:t>
      </w:r>
    </w:p>
    <w:p>
      <w:pPr>
        <w:pStyle w:val="Normal"/>
        <w:tabs>
          <w:tab w:val="clear" w:pos="720"/>
          <w:tab w:val="right" w:pos="9026" w:leader="dot"/>
        </w:tabs>
        <w:spacing w:before="40" w:after="0"/>
        <w:rPr/>
      </w:pPr>
      <w:r>
        <w:rPr>
          <w:rFonts w:eastAsia="Calibri" w:cs="Calibri"/>
          <w:b w:val="false"/>
          <w:bCs w:val="false"/>
          <w:color w:val="1F2937"/>
          <w:sz w:val="20"/>
          <w:szCs w:val="20"/>
        </w:rPr>
        <w:t>1.1  Renommage du serveur</w:t>
      </w:r>
      <w:r>
        <w:rPr>
          <w:rFonts w:eastAsia="Calibri" w:cs="Calibri"/>
          <w:color w:val="6B7280"/>
          <w:sz w:val="20"/>
          <w:szCs w:val="20"/>
        </w:rPr>
        <w:tab/>
        <w:t>3</w:t>
      </w:r>
    </w:p>
    <w:p>
      <w:pPr>
        <w:pStyle w:val="Normal"/>
        <w:tabs>
          <w:tab w:val="clear" w:pos="720"/>
          <w:tab w:val="right" w:pos="9026" w:leader="dot"/>
        </w:tabs>
        <w:spacing w:before="40" w:after="0"/>
        <w:rPr/>
      </w:pPr>
      <w:r>
        <w:rPr>
          <w:rFonts w:eastAsia="Calibri" w:cs="Calibri"/>
          <w:b w:val="false"/>
          <w:bCs w:val="false"/>
          <w:color w:val="1F2937"/>
          <w:sz w:val="20"/>
          <w:szCs w:val="20"/>
        </w:rPr>
        <w:t>1.2  Configuration de l'adressage IP</w:t>
      </w:r>
      <w:r>
        <w:rPr>
          <w:rFonts w:eastAsia="Calibri" w:cs="Calibri"/>
          <w:color w:val="6B7280"/>
          <w:sz w:val="20"/>
          <w:szCs w:val="20"/>
        </w:rPr>
        <w:tab/>
        <w:t>3</w:t>
      </w:r>
    </w:p>
    <w:p>
      <w:pPr>
        <w:pStyle w:val="Normal"/>
        <w:tabs>
          <w:tab w:val="clear" w:pos="720"/>
          <w:tab w:val="right" w:pos="9026" w:leader="dot"/>
        </w:tabs>
        <w:spacing w:before="100" w:after="0"/>
        <w:rPr/>
      </w:pPr>
      <w:r>
        <w:rPr>
          <w:rFonts w:eastAsia="Calibri" w:cs="Calibri"/>
          <w:b/>
          <w:bCs/>
          <w:color w:val="1A3A5C"/>
          <w:sz w:val="22"/>
          <w:szCs w:val="22"/>
        </w:rPr>
        <w:t>2.  Installation et promotion en contrôleur de domaine</w:t>
      </w:r>
      <w:r>
        <w:rPr>
          <w:rFonts w:eastAsia="Calibri" w:cs="Calibri"/>
          <w:color w:val="6B7280"/>
          <w:sz w:val="22"/>
          <w:szCs w:val="22"/>
        </w:rPr>
        <w:tab/>
        <w:t>3</w:t>
      </w:r>
    </w:p>
    <w:p>
      <w:pPr>
        <w:pStyle w:val="Normal"/>
        <w:tabs>
          <w:tab w:val="clear" w:pos="720"/>
          <w:tab w:val="right" w:pos="9026" w:leader="dot"/>
        </w:tabs>
        <w:spacing w:before="40" w:after="0"/>
        <w:rPr/>
      </w:pPr>
      <w:r>
        <w:rPr>
          <w:rFonts w:eastAsia="Calibri" w:cs="Calibri"/>
          <w:b w:val="false"/>
          <w:bCs w:val="false"/>
          <w:color w:val="1F2937"/>
          <w:sz w:val="20"/>
          <w:szCs w:val="20"/>
        </w:rPr>
        <w:t>2.1  Installation du rôle AD DS</w:t>
      </w:r>
      <w:r>
        <w:rPr>
          <w:rFonts w:eastAsia="Calibri" w:cs="Calibri"/>
          <w:color w:val="6B7280"/>
          <w:sz w:val="20"/>
          <w:szCs w:val="20"/>
        </w:rPr>
        <w:tab/>
        <w:t>3</w:t>
      </w:r>
    </w:p>
    <w:p>
      <w:pPr>
        <w:pStyle w:val="Normal"/>
        <w:tabs>
          <w:tab w:val="clear" w:pos="720"/>
          <w:tab w:val="right" w:pos="9026" w:leader="dot"/>
        </w:tabs>
        <w:spacing w:before="40" w:after="0"/>
        <w:rPr/>
      </w:pPr>
      <w:r>
        <w:rPr>
          <w:rFonts w:eastAsia="Calibri" w:cs="Calibri"/>
          <w:b w:val="false"/>
          <w:bCs w:val="false"/>
          <w:color w:val="1F2937"/>
          <w:sz w:val="20"/>
          <w:szCs w:val="20"/>
        </w:rPr>
        <w:t>2.2  Promotion en contrôleur de domaine</w:t>
      </w:r>
      <w:r>
        <w:rPr>
          <w:rFonts w:eastAsia="Calibri" w:cs="Calibri"/>
          <w:color w:val="6B7280"/>
          <w:sz w:val="20"/>
          <w:szCs w:val="20"/>
        </w:rPr>
        <w:tab/>
        <w:t>3</w:t>
      </w:r>
    </w:p>
    <w:p>
      <w:pPr>
        <w:pStyle w:val="Normal"/>
        <w:tabs>
          <w:tab w:val="clear" w:pos="720"/>
          <w:tab w:val="right" w:pos="9026" w:leader="dot"/>
        </w:tabs>
        <w:spacing w:before="40" w:after="0"/>
        <w:rPr/>
      </w:pPr>
      <w:r>
        <w:rPr>
          <w:rFonts w:eastAsia="Calibri" w:cs="Calibri"/>
          <w:b w:val="false"/>
          <w:bCs w:val="false"/>
          <w:color w:val="1F2937"/>
          <w:sz w:val="20"/>
          <w:szCs w:val="20"/>
        </w:rPr>
        <w:t>2.3  Intégration du serveur de fichiers</w:t>
      </w:r>
      <w:r>
        <w:rPr>
          <w:rFonts w:eastAsia="Calibri" w:cs="Calibri"/>
          <w:color w:val="6B7280"/>
          <w:sz w:val="20"/>
          <w:szCs w:val="20"/>
        </w:rPr>
        <w:tab/>
        <w:t>3</w:t>
      </w:r>
    </w:p>
    <w:p>
      <w:pPr>
        <w:pStyle w:val="Normal"/>
        <w:tabs>
          <w:tab w:val="clear" w:pos="720"/>
          <w:tab w:val="right" w:pos="9026" w:leader="dot"/>
        </w:tabs>
        <w:spacing w:before="100" w:after="0"/>
        <w:rPr/>
      </w:pPr>
      <w:r>
        <w:rPr>
          <w:rFonts w:eastAsia="Calibri" w:cs="Calibri"/>
          <w:b/>
          <w:bCs/>
          <w:color w:val="1A3A5C"/>
          <w:sz w:val="22"/>
          <w:szCs w:val="22"/>
        </w:rPr>
        <w:t>3.  Création automatisée des utilisateurs (PowerShell)</w:t>
      </w:r>
      <w:r>
        <w:rPr>
          <w:rFonts w:eastAsia="Calibri" w:cs="Calibri"/>
          <w:color w:val="6B7280"/>
          <w:sz w:val="22"/>
          <w:szCs w:val="22"/>
        </w:rPr>
        <w:tab/>
        <w:t>4</w:t>
      </w:r>
    </w:p>
    <w:p>
      <w:pPr>
        <w:pStyle w:val="Normal"/>
        <w:tabs>
          <w:tab w:val="clear" w:pos="720"/>
          <w:tab w:val="right" w:pos="9026" w:leader="dot"/>
        </w:tabs>
        <w:spacing w:before="40" w:after="0"/>
        <w:rPr/>
      </w:pPr>
      <w:r>
        <w:rPr>
          <w:rFonts w:eastAsia="Calibri" w:cs="Calibri"/>
          <w:b w:val="false"/>
          <w:bCs w:val="false"/>
          <w:color w:val="1F2937"/>
          <w:sz w:val="20"/>
          <w:szCs w:val="20"/>
        </w:rPr>
        <w:t>3.1  Création de l'OU Temp et des groupes</w:t>
      </w:r>
      <w:r>
        <w:rPr>
          <w:rFonts w:eastAsia="Calibri" w:cs="Calibri"/>
          <w:color w:val="6B7280"/>
          <w:sz w:val="20"/>
          <w:szCs w:val="20"/>
        </w:rPr>
        <w:tab/>
        <w:t>4</w:t>
      </w:r>
    </w:p>
    <w:p>
      <w:pPr>
        <w:pStyle w:val="Normal"/>
        <w:tabs>
          <w:tab w:val="clear" w:pos="720"/>
          <w:tab w:val="right" w:pos="9026" w:leader="dot"/>
        </w:tabs>
        <w:spacing w:before="40" w:after="0"/>
        <w:rPr/>
      </w:pPr>
      <w:r>
        <w:rPr>
          <w:rFonts w:eastAsia="Calibri" w:cs="Calibri"/>
          <w:b w:val="false"/>
          <w:bCs w:val="false"/>
          <w:color w:val="1F2937"/>
          <w:sz w:val="20"/>
          <w:szCs w:val="20"/>
        </w:rPr>
        <w:t>3.2  Script de création des comptes</w:t>
      </w:r>
      <w:r>
        <w:rPr>
          <w:rFonts w:eastAsia="Calibri" w:cs="Calibri"/>
          <w:color w:val="6B7280"/>
          <w:sz w:val="20"/>
          <w:szCs w:val="20"/>
        </w:rPr>
        <w:tab/>
        <w:t>4</w:t>
      </w:r>
    </w:p>
    <w:p>
      <w:pPr>
        <w:pStyle w:val="Normal"/>
        <w:tabs>
          <w:tab w:val="clear" w:pos="720"/>
          <w:tab w:val="right" w:pos="9026" w:leader="dot"/>
        </w:tabs>
        <w:spacing w:before="100" w:after="0"/>
        <w:rPr/>
      </w:pPr>
      <w:r>
        <w:rPr>
          <w:rFonts w:eastAsia="Calibri" w:cs="Calibri"/>
          <w:b/>
          <w:bCs/>
          <w:color w:val="1A3A5C"/>
          <w:sz w:val="22"/>
          <w:szCs w:val="22"/>
        </w:rPr>
        <w:t>4.  Gestion des dossiers privés et profils itinérants</w:t>
      </w:r>
      <w:r>
        <w:rPr>
          <w:rFonts w:eastAsia="Calibri" w:cs="Calibri"/>
          <w:color w:val="6B7280"/>
          <w:sz w:val="22"/>
          <w:szCs w:val="22"/>
        </w:rPr>
        <w:tab/>
        <w:t>5</w:t>
      </w:r>
    </w:p>
    <w:p>
      <w:pPr>
        <w:pStyle w:val="Normal"/>
        <w:tabs>
          <w:tab w:val="clear" w:pos="720"/>
          <w:tab w:val="right" w:pos="9026" w:leader="dot"/>
        </w:tabs>
        <w:spacing w:before="40" w:after="0"/>
        <w:rPr/>
      </w:pPr>
      <w:r>
        <w:rPr>
          <w:rFonts w:eastAsia="Calibri" w:cs="Calibri"/>
          <w:b w:val="false"/>
          <w:bCs w:val="false"/>
          <w:color w:val="1F2937"/>
          <w:sz w:val="20"/>
          <w:szCs w:val="20"/>
        </w:rPr>
        <w:t>4.1  Dossiers privés</w:t>
      </w:r>
      <w:r>
        <w:rPr>
          <w:rFonts w:eastAsia="Calibri" w:cs="Calibri"/>
          <w:color w:val="6B7280"/>
          <w:sz w:val="20"/>
          <w:szCs w:val="20"/>
        </w:rPr>
        <w:tab/>
        <w:t>5</w:t>
      </w:r>
    </w:p>
    <w:p>
      <w:pPr>
        <w:pStyle w:val="Normal"/>
        <w:tabs>
          <w:tab w:val="clear" w:pos="720"/>
          <w:tab w:val="right" w:pos="9026" w:leader="dot"/>
        </w:tabs>
        <w:spacing w:before="40" w:after="0"/>
        <w:rPr/>
      </w:pPr>
      <w:r>
        <w:rPr>
          <w:rFonts w:eastAsia="Calibri" w:cs="Calibri"/>
          <w:b w:val="false"/>
          <w:bCs w:val="false"/>
          <w:color w:val="1F2937"/>
          <w:sz w:val="20"/>
          <w:szCs w:val="20"/>
        </w:rPr>
        <w:t>4.2  Profils itinérants</w:t>
      </w:r>
      <w:r>
        <w:rPr>
          <w:rFonts w:eastAsia="Calibri" w:cs="Calibri"/>
          <w:color w:val="6B7280"/>
          <w:sz w:val="20"/>
          <w:szCs w:val="20"/>
        </w:rPr>
        <w:tab/>
        <w:t>5</w:t>
      </w:r>
    </w:p>
    <w:p>
      <w:pPr>
        <w:pStyle w:val="Normal"/>
        <w:tabs>
          <w:tab w:val="clear" w:pos="720"/>
          <w:tab w:val="right" w:pos="9026" w:leader="dot"/>
        </w:tabs>
        <w:spacing w:before="100" w:after="0"/>
        <w:rPr/>
      </w:pPr>
      <w:r>
        <w:rPr>
          <w:rFonts w:eastAsia="Calibri" w:cs="Calibri"/>
          <w:b/>
          <w:bCs/>
          <w:color w:val="1A3A5C"/>
          <w:sz w:val="22"/>
          <w:szCs w:val="22"/>
        </w:rPr>
        <w:t>5.  Ventilation des utilisateurs dans l'arborescence OU</w:t>
      </w:r>
      <w:r>
        <w:rPr>
          <w:rFonts w:eastAsia="Calibri" w:cs="Calibri"/>
          <w:color w:val="6B7280"/>
          <w:sz w:val="22"/>
          <w:szCs w:val="22"/>
        </w:rPr>
        <w:tab/>
        <w:t>5</w:t>
      </w:r>
    </w:p>
    <w:p>
      <w:pPr>
        <w:pStyle w:val="Normal"/>
        <w:tabs>
          <w:tab w:val="clear" w:pos="720"/>
          <w:tab w:val="right" w:pos="9026" w:leader="dot"/>
        </w:tabs>
        <w:spacing w:before="100" w:after="0"/>
        <w:rPr/>
      </w:pPr>
      <w:r>
        <w:rPr>
          <w:rFonts w:eastAsia="Calibri" w:cs="Calibri"/>
          <w:b/>
          <w:bCs/>
          <w:color w:val="1A3A5C"/>
          <w:sz w:val="22"/>
          <w:szCs w:val="22"/>
        </w:rPr>
        <w:t>6.  Dossiers promotion — partages et sécurités</w:t>
      </w:r>
      <w:r>
        <w:rPr>
          <w:rFonts w:eastAsia="Calibri" w:cs="Calibri"/>
          <w:color w:val="6B7280"/>
          <w:sz w:val="22"/>
          <w:szCs w:val="22"/>
        </w:rPr>
        <w:tab/>
        <w:t>6</w:t>
      </w:r>
    </w:p>
    <w:p>
      <w:pPr>
        <w:pStyle w:val="Normal"/>
        <w:tabs>
          <w:tab w:val="clear" w:pos="720"/>
          <w:tab w:val="right" w:pos="9026" w:leader="dot"/>
        </w:tabs>
        <w:spacing w:before="40" w:after="0"/>
        <w:rPr/>
      </w:pPr>
      <w:r>
        <w:rPr>
          <w:rFonts w:eastAsia="Calibri" w:cs="Calibri"/>
          <w:b w:val="false"/>
          <w:bCs w:val="false"/>
          <w:color w:val="1F2937"/>
          <w:sz w:val="20"/>
          <w:szCs w:val="20"/>
        </w:rPr>
        <w:t>6.1  Script de création des dossiers</w:t>
      </w:r>
      <w:r>
        <w:rPr>
          <w:rFonts w:eastAsia="Calibri" w:cs="Calibri"/>
          <w:color w:val="6B7280"/>
          <w:sz w:val="20"/>
          <w:szCs w:val="20"/>
        </w:rPr>
        <w:tab/>
        <w:t>6</w:t>
      </w:r>
    </w:p>
    <w:p>
      <w:pPr>
        <w:pStyle w:val="Normal"/>
        <w:tabs>
          <w:tab w:val="clear" w:pos="720"/>
          <w:tab w:val="right" w:pos="9026" w:leader="dot"/>
        </w:tabs>
        <w:spacing w:before="40" w:after="0"/>
        <w:rPr/>
      </w:pPr>
      <w:r>
        <w:rPr>
          <w:rFonts w:eastAsia="Calibri" w:cs="Calibri"/>
          <w:b w:val="false"/>
          <w:bCs w:val="false"/>
          <w:color w:val="1F2937"/>
          <w:sz w:val="20"/>
          <w:szCs w:val="20"/>
        </w:rPr>
        <w:t>6.2  Arborescence et permissions</w:t>
      </w:r>
      <w:r>
        <w:rPr>
          <w:rFonts w:eastAsia="Calibri" w:cs="Calibri"/>
          <w:color w:val="6B7280"/>
          <w:sz w:val="20"/>
          <w:szCs w:val="20"/>
        </w:rPr>
        <w:tab/>
        <w:t>6</w:t>
      </w:r>
    </w:p>
    <w:p>
      <w:pPr>
        <w:pStyle w:val="Normal"/>
        <w:tabs>
          <w:tab w:val="clear" w:pos="720"/>
          <w:tab w:val="right" w:pos="9026" w:leader="dot"/>
        </w:tabs>
        <w:spacing w:before="100" w:after="0"/>
        <w:rPr/>
      </w:pPr>
      <w:r>
        <w:rPr>
          <w:rFonts w:eastAsia="Calibri" w:cs="Calibri"/>
          <w:b/>
          <w:bCs/>
          <w:color w:val="1A3A5C"/>
          <w:sz w:val="22"/>
          <w:szCs w:val="22"/>
        </w:rPr>
        <w:t>7.  GPO — Lecteurs réseau (mappage automatique)</w:t>
      </w:r>
      <w:r>
        <w:rPr>
          <w:rFonts w:eastAsia="Calibri" w:cs="Calibri"/>
          <w:color w:val="6B7280"/>
          <w:sz w:val="22"/>
          <w:szCs w:val="22"/>
        </w:rPr>
        <w:tab/>
        <w:t>7</w:t>
      </w:r>
    </w:p>
    <w:p>
      <w:pPr>
        <w:pStyle w:val="Normal"/>
        <w:tabs>
          <w:tab w:val="clear" w:pos="720"/>
          <w:tab w:val="right" w:pos="9026" w:leader="dot"/>
        </w:tabs>
        <w:spacing w:before="100" w:after="0"/>
        <w:rPr/>
      </w:pPr>
      <w:r>
        <w:rPr>
          <w:rFonts w:eastAsia="Calibri" w:cs="Calibri"/>
          <w:b/>
          <w:bCs/>
          <w:color w:val="1A3A5C"/>
          <w:sz w:val="22"/>
          <w:szCs w:val="22"/>
        </w:rPr>
        <w:t>8.  GPO — Redirection de dossiers</w:t>
      </w:r>
      <w:r>
        <w:rPr>
          <w:rFonts w:eastAsia="Calibri" w:cs="Calibri"/>
          <w:color w:val="6B7280"/>
          <w:sz w:val="22"/>
          <w:szCs w:val="22"/>
        </w:rPr>
        <w:tab/>
        <w:t>8</w:t>
      </w:r>
    </w:p>
    <w:p>
      <w:pPr>
        <w:pStyle w:val="Normal"/>
        <w:rPr/>
      </w:pPr>
      <w:r>
        <w:rPr/>
      </w:r>
      <w:r>
        <w:br w:type="page"/>
      </w:r>
    </w:p>
    <w:p>
      <w:pPr>
        <w:pStyle w:val="Heading1"/>
        <w:pBdr>
          <w:bottom w:val="single" w:sz="8" w:space="4" w:color="0078D4"/>
        </w:pBdr>
        <w:spacing w:before="0" w:after="140"/>
        <w:rPr/>
      </w:pPr>
      <w:r>
        <w:rPr>
          <w:rFonts w:eastAsia="Calibri" w:cs="Calibri" w:ascii="Calibri" w:hAnsi="Calibri"/>
          <w:b/>
          <w:bCs/>
          <w:color w:val="1A3A5C"/>
          <w:sz w:val="34"/>
          <w:szCs w:val="34"/>
        </w:rPr>
        <w:t>1. Prérequis et préparation du serveur</w:t>
      </w:r>
    </w:p>
    <w:p>
      <w:pPr>
        <w:pStyle w:val="Normal"/>
        <w:spacing w:lineRule="auto" w:line="281" w:before="80" w:after="100"/>
        <w:jc w:val="both"/>
        <w:rPr/>
      </w:pPr>
      <w:r>
        <w:rPr>
          <w:rFonts w:eastAsia="Calibri" w:cs="Calibri"/>
          <w:b w:val="false"/>
          <w:bCs w:val="false"/>
          <w:i w:val="false"/>
          <w:iCs w:val="false"/>
          <w:color w:val="1F2937"/>
          <w:sz w:val="22"/>
          <w:szCs w:val="22"/>
        </w:rPr>
        <w:t>Avant de promouvoir le serveur en contrôleur de domaine, deux opérations préalables sont nécessaires : le renommage de la machine et la configuration d'une adresse IP statique.</w:t>
      </w:r>
    </w:p>
    <w:p>
      <w:pPr>
        <w:pStyle w:val="Normal"/>
        <w:spacing w:before="0" w:after="0"/>
        <w:rPr/>
      </w:pPr>
      <w:r>
        <w:rPr/>
      </w:r>
    </w:p>
    <w:p>
      <w:pPr>
        <w:pStyle w:val="Heading2"/>
        <w:spacing w:before="240" w:after="100"/>
        <w:rPr/>
      </w:pPr>
      <w:r>
        <w:rPr>
          <w:rFonts w:eastAsia="Calibri" w:cs="Calibri" w:ascii="Calibri" w:hAnsi="Calibri"/>
          <w:b/>
          <w:bCs/>
          <w:color w:val="1A3A5C"/>
          <w:sz w:val="26"/>
          <w:szCs w:val="26"/>
        </w:rPr>
        <w:t>1.1  Renommage du serveur</w:t>
      </w:r>
    </w:p>
    <w:p>
      <w:pPr>
        <w:pStyle w:val="Normal"/>
        <w:spacing w:lineRule="auto" w:line="281" w:before="80" w:after="100"/>
        <w:jc w:val="both"/>
        <w:rPr/>
      </w:pPr>
      <w:r>
        <w:rPr>
          <w:rFonts w:eastAsia="Calibri" w:cs="Calibri"/>
          <w:b w:val="false"/>
          <w:bCs w:val="false"/>
          <w:i w:val="false"/>
          <w:iCs w:val="false"/>
          <w:color w:val="1F2937"/>
          <w:sz w:val="22"/>
          <w:szCs w:val="22"/>
        </w:rPr>
        <w:t>Accéder à Paramètres → Système → Renommer ce PC (avancé) → Modifier, renseigner le nom souhaité et redémarrer :</w:t>
      </w:r>
    </w:p>
    <w:p>
      <w:pPr>
        <w:pStyle w:val="Normal"/>
        <w:spacing w:before="120" w:after="60"/>
        <w:jc w:val="center"/>
        <w:rPr/>
      </w:pPr>
      <w:r>
        <w:rPr/>
        <w:drawing>
          <wp:inline distT="0" distB="0" distL="0" distR="0">
            <wp:extent cx="4572000" cy="35814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572000" cy="358140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Fenêtre de renommage du serveur Windows Server 2022</w:t>
      </w:r>
    </w:p>
    <w:tbl>
      <w:tblPr>
        <w:tblW w:w="9026" w:type="dxa"/>
        <w:jc w:val="start"/>
        <w:tblInd w:w="0" w:type="dxa"/>
        <w:tblLayout w:type="fixed"/>
        <w:tblCellMar>
          <w:top w:w="80" w:type="dxa"/>
          <w:start w:w="160" w:type="dxa"/>
          <w:bottom w:w="80" w:type="dxa"/>
          <w:end w:w="160" w:type="dxa"/>
        </w:tblCellMar>
      </w:tblPr>
      <w:tblGrid>
        <w:gridCol w:w="9026"/>
      </w:tblGrid>
      <w:tr>
        <w:trPr/>
        <w:tc>
          <w:tcPr>
            <w:tcW w:w="9026" w:type="dxa"/>
            <w:tcBorders>
              <w:top w:val="single" w:sz="6" w:space="0" w:color="0078D4"/>
              <w:start w:val="single" w:sz="6" w:space="0" w:color="0078D4"/>
              <w:bottom w:val="single" w:sz="6" w:space="0" w:color="0078D4"/>
              <w:end w:val="single" w:sz="6" w:space="0" w:color="0078D4"/>
            </w:tcBorders>
            <w:shd w:fill="E8F4FD" w:val="clear"/>
          </w:tcPr>
          <w:p>
            <w:pPr>
              <w:pStyle w:val="Normal"/>
              <w:spacing w:before="0" w:after="0"/>
              <w:rPr/>
            </w:pPr>
            <w:r>
              <w:rPr>
                <w:rFonts w:eastAsia="Calibri" w:cs="Calibri"/>
                <w:sz w:val="20"/>
                <w:szCs w:val="20"/>
              </w:rPr>
              <w:t xml:space="preserve">ℹ️  </w:t>
            </w:r>
            <w:r>
              <w:rPr>
                <w:rFonts w:eastAsia="Calibri" w:cs="Calibri"/>
                <w:color w:val="1F2937"/>
                <w:sz w:val="20"/>
                <w:szCs w:val="20"/>
              </w:rPr>
              <w:t>Le redémarrage est obligatoire pour que le nouveau nom soit pris en compte.</w:t>
            </w:r>
          </w:p>
        </w:tc>
      </w:tr>
    </w:tbl>
    <w:p>
      <w:pPr>
        <w:pStyle w:val="Normal"/>
        <w:spacing w:before="0" w:after="0"/>
        <w:rPr/>
      </w:pPr>
      <w:r>
        <w:rPr/>
      </w:r>
    </w:p>
    <w:p>
      <w:pPr>
        <w:pStyle w:val="Heading2"/>
        <w:spacing w:before="240" w:after="100"/>
        <w:rPr/>
      </w:pPr>
      <w:r>
        <w:rPr>
          <w:rFonts w:eastAsia="Calibri" w:cs="Calibri" w:ascii="Calibri" w:hAnsi="Calibri"/>
          <w:b/>
          <w:bCs/>
          <w:color w:val="1A3A5C"/>
          <w:sz w:val="26"/>
          <w:szCs w:val="26"/>
        </w:rPr>
        <w:t>1.2  Configuration de l'adressage IP</w:t>
      </w:r>
    </w:p>
    <w:p>
      <w:pPr>
        <w:pStyle w:val="Normal"/>
        <w:spacing w:lineRule="auto" w:line="281" w:before="80" w:after="100"/>
        <w:jc w:val="both"/>
        <w:rPr/>
      </w:pPr>
      <w:r>
        <w:rPr>
          <w:rFonts w:eastAsia="Calibri" w:cs="Calibri"/>
          <w:b w:val="false"/>
          <w:bCs w:val="false"/>
          <w:i w:val="false"/>
          <w:iCs w:val="false"/>
          <w:color w:val="1F2937"/>
          <w:sz w:val="22"/>
          <w:szCs w:val="22"/>
        </w:rPr>
        <w:t>Ouvrir ncpa.cpl → Carte réseau → IPv4, puis saisir l'adresse IP en accord avec le plan d'adressage. Le DNS primaire doit pointer vers la propre adresse du serveur (future IP du DC) :</w:t>
      </w:r>
    </w:p>
    <w:tbl>
      <w:tblPr>
        <w:tblW w:w="9026" w:type="dxa"/>
        <w:jc w:val="start"/>
        <w:tblInd w:w="0" w:type="dxa"/>
        <w:tblLayout w:type="fixed"/>
        <w:tblCellMar>
          <w:top w:w="100" w:type="dxa"/>
          <w:start w:w="200" w:type="dxa"/>
          <w:bottom w:w="100" w:type="dxa"/>
          <w:end w:w="200" w:type="dxa"/>
        </w:tblCellMar>
      </w:tblPr>
      <w:tblGrid>
        <w:gridCol w:w="9026"/>
      </w:tblGrid>
      <w:tr>
        <w:trPr/>
        <w:tc>
          <w:tcPr>
            <w:tcW w:w="9026" w:type="dxa"/>
            <w:tcBorders>
              <w:top w:val="single" w:sz="4" w:space="0" w:color="0078D4"/>
              <w:start w:val="single" w:sz="4" w:space="0" w:color="0078D4"/>
              <w:bottom w:val="single" w:sz="4" w:space="0" w:color="0078D4"/>
              <w:end w:val="single" w:sz="4" w:space="0" w:color="0078D4"/>
            </w:tcBorders>
            <w:shd w:fill="1E1E1E" w:val="clear"/>
          </w:tcPr>
          <w:p>
            <w:pPr>
              <w:pStyle w:val="Normal"/>
              <w:spacing w:lineRule="auto" w:line="240" w:before="0" w:after="0"/>
              <w:rPr/>
            </w:pPr>
            <w:r>
              <w:rPr>
                <w:rFonts w:eastAsia="Courier New" w:cs="Courier New" w:ascii="Courier New" w:hAnsi="Courier New"/>
                <w:color w:val="D4D4D4"/>
                <w:sz w:val="18"/>
                <w:szCs w:val="18"/>
              </w:rPr>
              <w:t>IP :      10.0.1.254</w:t>
            </w:r>
          </w:p>
          <w:p>
            <w:pPr>
              <w:pStyle w:val="Normal"/>
              <w:spacing w:lineRule="auto" w:line="240" w:before="0" w:after="0"/>
              <w:rPr/>
            </w:pPr>
            <w:r>
              <w:rPr>
                <w:rFonts w:eastAsia="Courier New" w:cs="Courier New" w:ascii="Courier New" w:hAnsi="Courier New"/>
                <w:color w:val="D4D4D4"/>
                <w:sz w:val="18"/>
                <w:szCs w:val="18"/>
              </w:rPr>
              <w:t>Masque :  255.255.255.0</w:t>
            </w:r>
          </w:p>
          <w:p>
            <w:pPr>
              <w:pStyle w:val="Normal"/>
              <w:spacing w:lineRule="auto" w:line="240" w:before="0" w:after="0"/>
              <w:rPr/>
            </w:pPr>
            <w:r>
              <w:rPr>
                <w:rFonts w:eastAsia="Courier New" w:cs="Courier New" w:ascii="Courier New" w:hAnsi="Courier New"/>
                <w:color w:val="D4D4D4"/>
                <w:sz w:val="18"/>
                <w:szCs w:val="18"/>
              </w:rPr>
              <w:t>Passerelle : (selon plan réseau)</w:t>
            </w:r>
          </w:p>
          <w:p>
            <w:pPr>
              <w:pStyle w:val="Normal"/>
              <w:spacing w:lineRule="auto" w:line="240" w:before="0" w:after="0"/>
              <w:rPr/>
            </w:pPr>
            <w:r>
              <w:rPr>
                <w:rFonts w:eastAsia="Courier New" w:cs="Courier New" w:ascii="Courier New" w:hAnsi="Courier New"/>
                <w:color w:val="D4D4D4"/>
                <w:sz w:val="18"/>
                <w:szCs w:val="18"/>
              </w:rPr>
              <w:t>DNS :     10.0.1.254  (adresse du DC lui-même)</w:t>
            </w:r>
          </w:p>
        </w:tc>
      </w:tr>
    </w:tbl>
    <w:p>
      <w:pPr>
        <w:pStyle w:val="Normal"/>
        <w:spacing w:before="120" w:after="60"/>
        <w:jc w:val="center"/>
        <w:rPr/>
      </w:pPr>
      <w:r>
        <w:rPr/>
        <w:drawing>
          <wp:inline distT="0" distB="0" distL="0" distR="0">
            <wp:extent cx="4572000" cy="51911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572000" cy="519112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Configuration IPv4 statique du serveur</w:t>
      </w:r>
    </w:p>
    <w:p>
      <w:pPr>
        <w:pStyle w:val="Normal"/>
        <w:rPr/>
      </w:pPr>
      <w:r>
        <w:rPr/>
      </w:r>
      <w:r>
        <w:br w:type="page"/>
      </w:r>
    </w:p>
    <w:p>
      <w:pPr>
        <w:pStyle w:val="Heading1"/>
        <w:pBdr>
          <w:bottom w:val="single" w:sz="8" w:space="4" w:color="0078D4"/>
        </w:pBdr>
        <w:spacing w:before="0" w:after="140"/>
        <w:rPr/>
      </w:pPr>
      <w:r>
        <w:rPr>
          <w:rFonts w:eastAsia="Calibri" w:cs="Calibri" w:ascii="Calibri" w:hAnsi="Calibri"/>
          <w:b/>
          <w:bCs/>
          <w:color w:val="1A3A5C"/>
          <w:sz w:val="34"/>
          <w:szCs w:val="34"/>
        </w:rPr>
        <w:t>2. Installation et promotion en contrôleur de domaine</w:t>
      </w:r>
    </w:p>
    <w:p>
      <w:pPr>
        <w:pStyle w:val="Heading2"/>
        <w:spacing w:before="240" w:after="100"/>
        <w:rPr/>
      </w:pPr>
      <w:r>
        <w:rPr>
          <w:rFonts w:eastAsia="Calibri" w:cs="Calibri" w:ascii="Calibri" w:hAnsi="Calibri"/>
          <w:b/>
          <w:bCs/>
          <w:color w:val="1A3A5C"/>
          <w:sz w:val="26"/>
          <w:szCs w:val="26"/>
        </w:rPr>
        <w:t>2.1  Installation du rôle AD DS</w:t>
      </w:r>
    </w:p>
    <w:p>
      <w:pPr>
        <w:pStyle w:val="Normal"/>
        <w:spacing w:lineRule="auto" w:line="281" w:before="80" w:after="100"/>
        <w:jc w:val="both"/>
        <w:rPr/>
      </w:pPr>
      <w:r>
        <w:rPr>
          <w:rFonts w:eastAsia="Calibri" w:cs="Calibri"/>
          <w:b w:val="false"/>
          <w:bCs w:val="false"/>
          <w:i w:val="false"/>
          <w:iCs w:val="false"/>
          <w:color w:val="1F2937"/>
          <w:sz w:val="22"/>
          <w:szCs w:val="22"/>
        </w:rPr>
        <w:t>Dans le Gestionnaire de serveur, cliquer sur Ajouter des rôles et fonctionnalités, sélectionner Services de domaine Active Directory, puis suivre l'assistant jusqu'à l'installation :</w:t>
      </w:r>
    </w:p>
    <w:p>
      <w:pPr>
        <w:pStyle w:val="Normal"/>
        <w:spacing w:before="120" w:after="60"/>
        <w:jc w:val="center"/>
        <w:rPr/>
      </w:pPr>
      <w:r>
        <w:rPr/>
        <w:drawing>
          <wp:inline distT="0" distB="0" distL="0" distR="0">
            <wp:extent cx="4572000" cy="32099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572000" cy="320992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Sélection du rôle AD DS dans l'assistant d'ajout de rôles</w:t>
      </w:r>
    </w:p>
    <w:p>
      <w:pPr>
        <w:pStyle w:val="Normal"/>
        <w:spacing w:before="0" w:after="0"/>
        <w:rPr/>
      </w:pPr>
      <w:r>
        <w:rPr/>
      </w:r>
    </w:p>
    <w:p>
      <w:pPr>
        <w:pStyle w:val="Heading2"/>
        <w:spacing w:before="240" w:after="100"/>
        <w:rPr/>
      </w:pPr>
      <w:r>
        <w:rPr>
          <w:rFonts w:eastAsia="Calibri" w:cs="Calibri" w:ascii="Calibri" w:hAnsi="Calibri"/>
          <w:b/>
          <w:bCs/>
          <w:color w:val="1A3A5C"/>
          <w:sz w:val="26"/>
          <w:szCs w:val="26"/>
        </w:rPr>
        <w:t>2.2  Promotion en contrôleur de domaine</w:t>
      </w:r>
    </w:p>
    <w:p>
      <w:pPr>
        <w:pStyle w:val="Normal"/>
        <w:spacing w:lineRule="auto" w:line="281" w:before="80" w:after="100"/>
        <w:jc w:val="both"/>
        <w:rPr/>
      </w:pPr>
      <w:r>
        <w:rPr>
          <w:rFonts w:eastAsia="Calibri" w:cs="Calibri"/>
          <w:b w:val="false"/>
          <w:bCs w:val="false"/>
          <w:i w:val="false"/>
          <w:iCs w:val="false"/>
          <w:color w:val="1F2937"/>
          <w:sz w:val="22"/>
          <w:szCs w:val="22"/>
        </w:rPr>
        <w:t>Une fois le rôle installé, cliquer sur le drapeau de notification puis sur Promouvoir ce serveur en contrôleur de domaine :</w:t>
      </w:r>
    </w:p>
    <w:p>
      <w:pPr>
        <w:pStyle w:val="Normal"/>
        <w:spacing w:before="120" w:after="60"/>
        <w:jc w:val="center"/>
        <w:rPr/>
      </w:pPr>
      <w:r>
        <w:rPr/>
        <w:drawing>
          <wp:inline distT="0" distB="0" distL="0" distR="0">
            <wp:extent cx="4572000" cy="44386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572000" cy="44386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Assistant de configuration des services de domaine Active Directory</w:t>
      </w:r>
    </w:p>
    <w:p>
      <w:pPr>
        <w:pStyle w:val="Normal"/>
        <w:spacing w:before="0" w:after="0"/>
        <w:rPr/>
      </w:pPr>
      <w:r>
        <w:rPr/>
      </w:r>
    </w:p>
    <w:p>
      <w:pPr>
        <w:pStyle w:val="Normal"/>
        <w:spacing w:lineRule="auto" w:line="281" w:before="80" w:after="100"/>
        <w:jc w:val="both"/>
        <w:rPr/>
      </w:pPr>
      <w:r>
        <w:rPr>
          <w:rFonts w:eastAsia="Calibri" w:cs="Calibri"/>
          <w:b w:val="false"/>
          <w:bCs w:val="false"/>
          <w:i w:val="false"/>
          <w:iCs w:val="false"/>
          <w:color w:val="1F2937"/>
          <w:sz w:val="22"/>
          <w:szCs w:val="22"/>
        </w:rPr>
        <w:t>Choisir Ajouter une nouvelle forêt, saisir le nom de domaine IUTO109.com, définir le mot de passe DSRM puis suivre l'assistant jusqu'à l'installation. Le serveur redémarrera automatiquement.</w:t>
      </w:r>
    </w:p>
    <w:tbl>
      <w:tblPr>
        <w:tblW w:w="9026" w:type="dxa"/>
        <w:jc w:val="start"/>
        <w:tblInd w:w="0" w:type="dxa"/>
        <w:tblLayout w:type="fixed"/>
        <w:tblCellMar>
          <w:top w:w="80" w:type="dxa"/>
          <w:start w:w="160" w:type="dxa"/>
          <w:bottom w:w="80" w:type="dxa"/>
          <w:end w:w="160" w:type="dxa"/>
        </w:tblCellMar>
      </w:tblPr>
      <w:tblGrid>
        <w:gridCol w:w="9026"/>
      </w:tblGrid>
      <w:tr>
        <w:trPr/>
        <w:tc>
          <w:tcPr>
            <w:tcW w:w="9026" w:type="dxa"/>
            <w:tcBorders>
              <w:top w:val="single" w:sz="6" w:space="0" w:color="FF8C00"/>
              <w:start w:val="single" w:sz="6" w:space="0" w:color="FF8C00"/>
              <w:bottom w:val="single" w:sz="6" w:space="0" w:color="FF8C00"/>
              <w:end w:val="single" w:sz="6" w:space="0" w:color="FF8C00"/>
            </w:tcBorders>
            <w:shd w:fill="FFF8E1" w:val="clear"/>
          </w:tcPr>
          <w:p>
            <w:pPr>
              <w:pStyle w:val="Normal"/>
              <w:spacing w:before="0" w:after="0"/>
              <w:rPr/>
            </w:pPr>
            <w:r>
              <w:rPr>
                <w:rFonts w:eastAsia="Calibri" w:cs="Calibri"/>
                <w:sz w:val="20"/>
                <w:szCs w:val="20"/>
              </w:rPr>
              <w:t xml:space="preserve">⚠️  </w:t>
            </w:r>
            <w:r>
              <w:rPr>
                <w:rFonts w:eastAsia="Calibri" w:cs="Calibri"/>
                <w:color w:val="1F2937"/>
                <w:sz w:val="20"/>
                <w:szCs w:val="20"/>
              </w:rPr>
              <w:t>Le mot de passe DSRM (Directory Services Restore Mode) doit être noté précieusement — il est indispensable en cas de restauration d'urgence.</w:t>
            </w:r>
          </w:p>
        </w:tc>
      </w:tr>
    </w:tbl>
    <w:p>
      <w:pPr>
        <w:pStyle w:val="Normal"/>
        <w:spacing w:before="0" w:after="0"/>
        <w:rPr/>
      </w:pPr>
      <w:r>
        <w:rPr/>
      </w:r>
    </w:p>
    <w:p>
      <w:pPr>
        <w:pStyle w:val="Heading2"/>
        <w:spacing w:before="240" w:after="100"/>
        <w:rPr/>
      </w:pPr>
      <w:r>
        <w:rPr>
          <w:rFonts w:eastAsia="Calibri" w:cs="Calibri" w:ascii="Calibri" w:hAnsi="Calibri"/>
          <w:b/>
          <w:bCs/>
          <w:color w:val="1A3A5C"/>
          <w:sz w:val="26"/>
          <w:szCs w:val="26"/>
        </w:rPr>
        <w:t>2.3  Intégration du serveur de fichiers</w:t>
      </w:r>
    </w:p>
    <w:p>
      <w:pPr>
        <w:pStyle w:val="Normal"/>
        <w:spacing w:lineRule="auto" w:line="281" w:before="80" w:after="100"/>
        <w:jc w:val="both"/>
        <w:rPr/>
      </w:pPr>
      <w:r>
        <w:rPr>
          <w:rFonts w:eastAsia="Calibri" w:cs="Calibri"/>
          <w:b w:val="false"/>
          <w:bCs w:val="false"/>
          <w:i w:val="false"/>
          <w:iCs w:val="false"/>
          <w:color w:val="1F2937"/>
          <w:sz w:val="22"/>
          <w:szCs w:val="22"/>
        </w:rPr>
        <w:t>Le second serveur Windows Server 2022 (serveur de fichiers) doit être intégré au domaine. Procéder dans l'ordre suivant :</w:t>
      </w:r>
    </w:p>
    <w:p>
      <w:pPr>
        <w:pStyle w:val="ListParagraph"/>
        <w:numPr>
          <w:ilvl w:val="0"/>
          <w:numId w:val="3"/>
        </w:numPr>
        <w:spacing w:before="60" w:after="60"/>
        <w:rPr/>
      </w:pPr>
      <w:r>
        <w:rPr>
          <w:rFonts w:eastAsia="Calibri" w:cs="Calibri"/>
          <w:color w:val="1F2937"/>
          <w:sz w:val="22"/>
          <w:szCs w:val="22"/>
        </w:rPr>
        <w:t>Configurer l'adresse IP statique selon le plan d'adressage (DNS pointant vers 10.0.1.254)</w:t>
      </w:r>
    </w:p>
    <w:p>
      <w:pPr>
        <w:pStyle w:val="ListParagraph"/>
        <w:numPr>
          <w:ilvl w:val="0"/>
          <w:numId w:val="1"/>
        </w:numPr>
        <w:spacing w:before="60" w:after="60"/>
        <w:rPr/>
      </w:pPr>
      <w:r>
        <w:rPr>
          <w:rFonts w:eastAsia="Calibri" w:cs="Calibri"/>
          <w:color w:val="1F2937"/>
          <w:sz w:val="22"/>
          <w:szCs w:val="22"/>
        </w:rPr>
        <w:t>Aller dans Paramètres → Système → À propos → Renommer ce PC (avancé)</w:t>
      </w:r>
    </w:p>
    <w:p>
      <w:pPr>
        <w:pStyle w:val="ListParagraph"/>
        <w:numPr>
          <w:ilvl w:val="0"/>
          <w:numId w:val="1"/>
        </w:numPr>
        <w:spacing w:before="60" w:after="60"/>
        <w:rPr/>
      </w:pPr>
      <w:r>
        <w:rPr>
          <w:rFonts w:eastAsia="Calibri" w:cs="Calibri"/>
          <w:color w:val="1F2937"/>
          <w:sz w:val="22"/>
          <w:szCs w:val="22"/>
        </w:rPr>
        <w:t>Saisir le nouveau nom de la machine et renseigner le domaine IUTO109.com</w:t>
      </w:r>
    </w:p>
    <w:p>
      <w:pPr>
        <w:pStyle w:val="ListParagraph"/>
        <w:numPr>
          <w:ilvl w:val="0"/>
          <w:numId w:val="1"/>
        </w:numPr>
        <w:spacing w:before="60" w:after="60"/>
        <w:rPr/>
      </w:pPr>
      <w:r>
        <w:rPr>
          <w:rFonts w:eastAsia="Calibri" w:cs="Calibri"/>
          <w:color w:val="1F2937"/>
          <w:sz w:val="22"/>
          <w:szCs w:val="22"/>
        </w:rPr>
        <w:t>Authentifier avec un compte administrateur du domaine — le serveur rejoindra le domaine et redémarrera</w:t>
      </w:r>
    </w:p>
    <w:p>
      <w:pPr>
        <w:pStyle w:val="Normal"/>
        <w:rPr/>
      </w:pPr>
      <w:r>
        <w:rPr/>
      </w:r>
      <w:r>
        <w:br w:type="page"/>
      </w:r>
    </w:p>
    <w:p>
      <w:pPr>
        <w:pStyle w:val="Heading1"/>
        <w:pBdr>
          <w:bottom w:val="single" w:sz="8" w:space="4" w:color="0078D4"/>
        </w:pBdr>
        <w:spacing w:before="0" w:after="140"/>
        <w:rPr/>
      </w:pPr>
      <w:r>
        <w:rPr>
          <w:rFonts w:eastAsia="Calibri" w:cs="Calibri" w:ascii="Calibri" w:hAnsi="Calibri"/>
          <w:b/>
          <w:bCs/>
          <w:color w:val="1A3A5C"/>
          <w:sz w:val="34"/>
          <w:szCs w:val="34"/>
        </w:rPr>
        <w:t>3. Création automatisée des utilisateurs (PowerShell)</w:t>
      </w:r>
    </w:p>
    <w:p>
      <w:pPr>
        <w:pStyle w:val="Normal"/>
        <w:spacing w:lineRule="auto" w:line="281" w:before="80" w:after="100"/>
        <w:jc w:val="both"/>
        <w:rPr/>
      </w:pPr>
      <w:r>
        <w:rPr>
          <w:rFonts w:eastAsia="Calibri" w:cs="Calibri"/>
          <w:b w:val="false"/>
          <w:bCs w:val="false"/>
          <w:i w:val="false"/>
          <w:iCs w:val="false"/>
          <w:color w:val="1F2937"/>
          <w:sz w:val="22"/>
          <w:szCs w:val="22"/>
        </w:rPr>
        <w:t>La création des comptes étudiants est automatisée via un script PowerShell alimenté par un fichier CSV contenant les noms, prénoms et classes. Le script applique une convention de nommage cohérente.</w:t>
      </w:r>
    </w:p>
    <w:p>
      <w:pPr>
        <w:pStyle w:val="Normal"/>
        <w:spacing w:before="0" w:after="0"/>
        <w:rPr/>
      </w:pPr>
      <w:r>
        <w:rPr/>
      </w:r>
    </w:p>
    <w:p>
      <w:pPr>
        <w:pStyle w:val="Heading2"/>
        <w:spacing w:before="240" w:after="100"/>
        <w:rPr/>
      </w:pPr>
      <w:r>
        <w:rPr>
          <w:rFonts w:eastAsia="Calibri" w:cs="Calibri" w:ascii="Calibri" w:hAnsi="Calibri"/>
          <w:b/>
          <w:bCs/>
          <w:color w:val="1A3A5C"/>
          <w:sz w:val="26"/>
          <w:szCs w:val="26"/>
        </w:rPr>
        <w:t>3.1  Création de l'OU Temp et des groupes</w:t>
      </w:r>
    </w:p>
    <w:tbl>
      <w:tblPr>
        <w:tblW w:w="9026" w:type="dxa"/>
        <w:jc w:val="start"/>
        <w:tblInd w:w="0" w:type="dxa"/>
        <w:tblLayout w:type="fixed"/>
        <w:tblCellMar>
          <w:top w:w="80" w:type="dxa"/>
          <w:start w:w="160" w:type="dxa"/>
          <w:bottom w:w="80" w:type="dxa"/>
          <w:end w:w="160" w:type="dxa"/>
        </w:tblCellMar>
      </w:tblPr>
      <w:tblGrid>
        <w:gridCol w:w="9026"/>
      </w:tblGrid>
      <w:tr>
        <w:trPr/>
        <w:tc>
          <w:tcPr>
            <w:tcW w:w="9026" w:type="dxa"/>
            <w:tcBorders>
              <w:top w:val="single" w:sz="6" w:space="0" w:color="FF8C00"/>
              <w:start w:val="single" w:sz="6" w:space="0" w:color="FF8C00"/>
              <w:bottom w:val="single" w:sz="6" w:space="0" w:color="FF8C00"/>
              <w:end w:val="single" w:sz="6" w:space="0" w:color="FF8C00"/>
            </w:tcBorders>
            <w:shd w:fill="FFF8E1" w:val="clear"/>
          </w:tcPr>
          <w:p>
            <w:pPr>
              <w:pStyle w:val="Normal"/>
              <w:spacing w:before="0" w:after="0"/>
              <w:rPr/>
            </w:pPr>
            <w:r>
              <w:rPr>
                <w:rFonts w:eastAsia="Calibri" w:cs="Calibri"/>
                <w:sz w:val="20"/>
                <w:szCs w:val="20"/>
              </w:rPr>
              <w:t xml:space="preserve">⚠️  </w:t>
            </w:r>
            <w:r>
              <w:rPr>
                <w:rFonts w:eastAsia="Calibri" w:cs="Calibri"/>
                <w:color w:val="1F2937"/>
                <w:sz w:val="20"/>
                <w:szCs w:val="20"/>
              </w:rPr>
              <w:t>IMPORTANT : Créer les groupes et les ajouter au groupe ETUDIANTS AVANT de lancer le script de création des comptes.</w:t>
            </w:r>
          </w:p>
        </w:tc>
      </w:tr>
    </w:tbl>
    <w:p>
      <w:pPr>
        <w:pStyle w:val="Normal"/>
        <w:spacing w:before="0" w:after="0"/>
        <w:rPr/>
      </w:pPr>
      <w:r>
        <w:rPr/>
      </w:r>
    </w:p>
    <w:p>
      <w:pPr>
        <w:pStyle w:val="Normal"/>
        <w:spacing w:lineRule="auto" w:line="281" w:before="80" w:after="100"/>
        <w:jc w:val="both"/>
        <w:rPr/>
      </w:pPr>
      <w:r>
        <w:rPr>
          <w:rFonts w:eastAsia="Calibri" w:cs="Calibri"/>
          <w:b w:val="false"/>
          <w:bCs w:val="false"/>
          <w:i w:val="false"/>
          <w:iCs w:val="false"/>
          <w:color w:val="1F2937"/>
          <w:sz w:val="22"/>
          <w:szCs w:val="22"/>
        </w:rPr>
        <w:t>Dans Utilisateurs et ordinateurs Active Directory, déployer l'arborescence IUTO109.com → Clic droit → Nouveau → Unité d'organisation, nommer l'OU « Temp » :</w:t>
      </w:r>
    </w:p>
    <w:p>
      <w:pPr>
        <w:pStyle w:val="Normal"/>
        <w:spacing w:before="120" w:after="60"/>
        <w:jc w:val="center"/>
        <w:rPr/>
      </w:pPr>
      <w:r>
        <w:rPr/>
        <w:drawing>
          <wp:inline distT="0" distB="0" distL="0" distR="0">
            <wp:extent cx="4572000" cy="39147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572000" cy="391477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Création de l'OU Temp dans l'arborescence Active Directory</w:t>
      </w:r>
    </w:p>
    <w:p>
      <w:pPr>
        <w:pStyle w:val="Normal"/>
        <w:spacing w:before="0" w:after="0"/>
        <w:rPr/>
      </w:pPr>
      <w:r>
        <w:rPr/>
      </w:r>
    </w:p>
    <w:p>
      <w:pPr>
        <w:pStyle w:val="Normal"/>
        <w:spacing w:lineRule="auto" w:line="281" w:before="80" w:after="100"/>
        <w:jc w:val="both"/>
        <w:rPr/>
      </w:pPr>
      <w:r>
        <w:rPr>
          <w:rFonts w:eastAsia="Calibri" w:cs="Calibri"/>
          <w:b w:val="false"/>
          <w:bCs w:val="false"/>
          <w:i w:val="false"/>
          <w:iCs w:val="false"/>
          <w:color w:val="1F2937"/>
          <w:sz w:val="22"/>
          <w:szCs w:val="22"/>
        </w:rPr>
        <w:t>Créer ensuite 6 groupes départementaux (Chimie, GEA, GMP, GTE, Info, QLIO) et 3 groupes par département pour les 3 classes. Clic droit sur l'OU → Nouveau → Groupe :</w:t>
      </w:r>
    </w:p>
    <w:p>
      <w:pPr>
        <w:pStyle w:val="Normal"/>
        <w:spacing w:before="120" w:after="60"/>
        <w:jc w:val="center"/>
        <w:rPr/>
      </w:pPr>
      <w:r>
        <w:rPr/>
        <w:drawing>
          <wp:inline distT="0" distB="0" distL="0" distR="0">
            <wp:extent cx="4572000" cy="39528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572000" cy="395287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Création d'un groupe dans l'OU — conserver l'étendue et le type par défaut</w:t>
      </w:r>
    </w:p>
    <w:p>
      <w:pPr>
        <w:pStyle w:val="Normal"/>
        <w:spacing w:before="0" w:after="0"/>
        <w:rPr/>
      </w:pPr>
      <w:r>
        <w:rPr/>
      </w:r>
    </w:p>
    <w:p>
      <w:pPr>
        <w:pStyle w:val="Heading2"/>
        <w:spacing w:before="240" w:after="100"/>
        <w:rPr/>
      </w:pPr>
      <w:r>
        <w:rPr>
          <w:rFonts w:eastAsia="Calibri" w:cs="Calibri" w:ascii="Calibri" w:hAnsi="Calibri"/>
          <w:b/>
          <w:bCs/>
          <w:color w:val="1A3A5C"/>
          <w:sz w:val="26"/>
          <w:szCs w:val="26"/>
        </w:rPr>
        <w:t>3.2  Script de création des comptes</w:t>
      </w:r>
    </w:p>
    <w:p>
      <w:pPr>
        <w:pStyle w:val="Normal"/>
        <w:spacing w:lineRule="auto" w:line="281" w:before="80" w:after="100"/>
        <w:jc w:val="both"/>
        <w:rPr/>
      </w:pPr>
      <w:r>
        <w:rPr>
          <w:rFonts w:eastAsia="Calibri" w:cs="Calibri"/>
          <w:b w:val="false"/>
          <w:bCs w:val="false"/>
          <w:i w:val="false"/>
          <w:iCs w:val="false"/>
          <w:color w:val="1F2937"/>
          <w:sz w:val="22"/>
          <w:szCs w:val="22"/>
        </w:rPr>
        <w:t>Convention de nommage appliquée par le script :</w:t>
      </w:r>
    </w:p>
    <w:tbl>
      <w:tblPr>
        <w:tblW w:w="9026" w:type="dxa"/>
        <w:jc w:val="start"/>
        <w:tblInd w:w="0" w:type="dxa"/>
        <w:tblLayout w:type="fixed"/>
        <w:tblCellMar>
          <w:top w:w="100" w:type="dxa"/>
          <w:start w:w="200" w:type="dxa"/>
          <w:bottom w:w="100" w:type="dxa"/>
          <w:end w:w="200" w:type="dxa"/>
        </w:tblCellMar>
      </w:tblPr>
      <w:tblGrid>
        <w:gridCol w:w="9026"/>
      </w:tblGrid>
      <w:tr>
        <w:trPr/>
        <w:tc>
          <w:tcPr>
            <w:tcW w:w="9026" w:type="dxa"/>
            <w:tcBorders>
              <w:top w:val="single" w:sz="4" w:space="0" w:color="107C10"/>
              <w:start w:val="single" w:sz="4" w:space="0" w:color="107C10"/>
              <w:bottom w:val="single" w:sz="4" w:space="0" w:color="107C10"/>
              <w:end w:val="single" w:sz="4" w:space="0" w:color="107C10"/>
            </w:tcBorders>
            <w:shd w:fill="012456" w:val="clear"/>
          </w:tcPr>
          <w:p>
            <w:pPr>
              <w:pStyle w:val="Normal"/>
              <w:spacing w:lineRule="auto" w:line="240" w:before="0" w:after="0"/>
              <w:rPr/>
            </w:pPr>
            <w:r>
              <w:rPr>
                <w:rFonts w:eastAsia="Courier New" w:cs="Courier New" w:ascii="Courier New" w:hAnsi="Courier New"/>
                <w:color w:val="EEEDF0"/>
                <w:sz w:val="18"/>
                <w:szCs w:val="18"/>
              </w:rPr>
              <w:t># Format SamAccountName et UPN :</w:t>
            </w:r>
          </w:p>
          <w:p>
            <w:pPr>
              <w:pStyle w:val="Normal"/>
              <w:spacing w:lineRule="auto" w:line="240" w:before="0" w:after="0"/>
              <w:rPr/>
            </w:pPr>
            <w:r>
              <w:rPr>
                <w:rFonts w:eastAsia="Courier New" w:cs="Courier New" w:ascii="Courier New" w:hAnsi="Courier New"/>
                <w:color w:val="EEEDF0"/>
                <w:sz w:val="18"/>
                <w:szCs w:val="18"/>
              </w:rPr>
              <w:t>#   2 premières lettres du prénom + "." + nom complet</w:t>
            </w:r>
          </w:p>
          <w:p>
            <w:pPr>
              <w:pStyle w:val="Normal"/>
              <w:spacing w:lineRule="auto" w:line="240" w:before="0" w:after="0"/>
              <w:rPr/>
            </w:pPr>
            <w:r>
              <w:rPr>
                <w:rFonts w:eastAsia="Courier New" w:cs="Courier New" w:ascii="Courier New" w:hAnsi="Courier New"/>
                <w:color w:val="EEEDF0"/>
                <w:sz w:val="18"/>
                <w:szCs w:val="18"/>
              </w:rPr>
              <w:t>#   Exemple : Jean Dupont → je.dupont</w:t>
            </w:r>
          </w:p>
          <w:p>
            <w:pPr>
              <w:pStyle w:val="Normal"/>
              <w:spacing w:lineRule="auto" w:line="240" w:before="0" w:after="0"/>
              <w:rPr/>
            </w:pPr>
            <w:r>
              <w:rPr>
                <w:rFonts w:eastAsia="Courier New" w:cs="Courier New" w:ascii="Courier New" w:hAnsi="Courier New"/>
                <w:color w:val="EEEDF0"/>
                <w:sz w:val="18"/>
                <w:szCs w:val="18"/>
              </w:rPr>
              <w:t>#</w:t>
            </w:r>
          </w:p>
          <w:p>
            <w:pPr>
              <w:pStyle w:val="Normal"/>
              <w:spacing w:lineRule="auto" w:line="240" w:before="0" w:after="0"/>
              <w:rPr/>
            </w:pPr>
            <w:r>
              <w:rPr>
                <w:rFonts w:eastAsia="Courier New" w:cs="Courier New" w:ascii="Courier New" w:hAnsi="Courier New"/>
                <w:color w:val="EEEDF0"/>
                <w:sz w:val="18"/>
                <w:szCs w:val="18"/>
              </w:rPr>
              <w:t># Email généré :</w:t>
            </w:r>
          </w:p>
          <w:p>
            <w:pPr>
              <w:pStyle w:val="Normal"/>
              <w:spacing w:lineRule="auto" w:line="240" w:before="0" w:after="0"/>
              <w:rPr/>
            </w:pPr>
            <w:r>
              <w:rPr>
                <w:rFonts w:eastAsia="Courier New" w:cs="Courier New" w:ascii="Courier New" w:hAnsi="Courier New"/>
                <w:color w:val="EEEDF0"/>
                <w:sz w:val="18"/>
                <w:szCs w:val="18"/>
              </w:rPr>
              <w:t>#   je.dupont@IUTO.org</w:t>
            </w:r>
          </w:p>
          <w:p>
            <w:pPr>
              <w:pStyle w:val="Normal"/>
              <w:spacing w:lineRule="auto" w:line="240" w:before="0" w:after="0"/>
              <w:rPr/>
            </w:pPr>
            <w:r>
              <w:rPr>
                <w:rFonts w:eastAsia="Courier New" w:cs="Courier New" w:ascii="Courier New" w:hAnsi="Courier New"/>
                <w:color w:val="EEEDF0"/>
                <w:sz w:val="18"/>
                <w:szCs w:val="18"/>
              </w:rPr>
              <w:t>#</w:t>
            </w:r>
          </w:p>
          <w:p>
            <w:pPr>
              <w:pStyle w:val="Normal"/>
              <w:spacing w:lineRule="auto" w:line="240" w:before="0" w:after="0"/>
              <w:rPr/>
            </w:pPr>
            <w:r>
              <w:rPr>
                <w:rFonts w:eastAsia="Courier New" w:cs="Courier New" w:ascii="Courier New" w:hAnsi="Courier New"/>
                <w:color w:val="EEEDF0"/>
                <w:sz w:val="18"/>
                <w:szCs w:val="18"/>
              </w:rPr>
              <w:t># Intégration automatique dans le groupe de la classe</w:t>
            </w:r>
          </w:p>
        </w:tc>
      </w:tr>
    </w:tbl>
    <w:p>
      <w:pPr>
        <w:pStyle w:val="Normal"/>
        <w:spacing w:before="0" w:after="0"/>
        <w:rPr/>
      </w:pPr>
      <w:r>
        <w:rPr/>
      </w:r>
    </w:p>
    <w:p>
      <w:pPr>
        <w:pStyle w:val="Normal"/>
        <w:spacing w:before="120" w:after="60"/>
        <w:jc w:val="center"/>
        <w:rPr/>
      </w:pPr>
      <w:r>
        <w:rPr/>
        <w:drawing>
          <wp:inline distT="0" distB="0" distL="0" distR="0">
            <wp:extent cx="4572000" cy="33623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572000" cy="336232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Résultat du script — fichier CSV généré avec les comptes créés</w:t>
      </w:r>
    </w:p>
    <w:p>
      <w:pPr>
        <w:pStyle w:val="Normal"/>
        <w:rPr/>
      </w:pPr>
      <w:r>
        <w:rPr/>
      </w:r>
      <w:r>
        <w:br w:type="page"/>
      </w:r>
    </w:p>
    <w:p>
      <w:pPr>
        <w:pStyle w:val="Heading1"/>
        <w:pBdr>
          <w:bottom w:val="single" w:sz="8" w:space="4" w:color="0078D4"/>
        </w:pBdr>
        <w:spacing w:before="0" w:after="140"/>
        <w:rPr/>
      </w:pPr>
      <w:r>
        <w:rPr>
          <w:rFonts w:eastAsia="Calibri" w:cs="Calibri" w:ascii="Calibri" w:hAnsi="Calibri"/>
          <w:b/>
          <w:bCs/>
          <w:color w:val="1A3A5C"/>
          <w:sz w:val="34"/>
          <w:szCs w:val="34"/>
        </w:rPr>
        <w:t>4. Gestion des dossiers privés et profils itinérants</w:t>
      </w:r>
    </w:p>
    <w:p>
      <w:pPr>
        <w:pStyle w:val="Heading2"/>
        <w:spacing w:before="240" w:after="100"/>
        <w:rPr/>
      </w:pPr>
      <w:r>
        <w:rPr>
          <w:rFonts w:eastAsia="Calibri" w:cs="Calibri" w:ascii="Calibri" w:hAnsi="Calibri"/>
          <w:b/>
          <w:bCs/>
          <w:color w:val="1A3A5C"/>
          <w:sz w:val="26"/>
          <w:szCs w:val="26"/>
        </w:rPr>
        <w:t>4.1  Dossiers privés</w:t>
      </w:r>
    </w:p>
    <w:p>
      <w:pPr>
        <w:pStyle w:val="Normal"/>
        <w:spacing w:lineRule="auto" w:line="281" w:before="80" w:after="100"/>
        <w:jc w:val="both"/>
        <w:rPr/>
      </w:pPr>
      <w:r>
        <w:rPr>
          <w:rFonts w:eastAsia="Calibri" w:cs="Calibri"/>
          <w:b w:val="false"/>
          <w:bCs w:val="false"/>
          <w:i w:val="false"/>
          <w:iCs w:val="false"/>
          <w:color w:val="1F2937"/>
          <w:sz w:val="22"/>
          <w:szCs w:val="22"/>
        </w:rPr>
        <w:t>Tous les utilisateurs étant encore dans l'OU Temp, ils peuvent être sélectionnés en une seule opération pour l'attribution des dossiers privés.</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Étape 1 — Créer et partager le dossier</w:t>
      </w:r>
    </w:p>
    <w:p>
      <w:pPr>
        <w:pStyle w:val="Normal"/>
        <w:spacing w:lineRule="auto" w:line="281" w:before="80" w:after="100"/>
        <w:jc w:val="both"/>
        <w:rPr/>
      </w:pPr>
      <w:r>
        <w:rPr>
          <w:rFonts w:eastAsia="Calibri" w:cs="Calibri"/>
          <w:b w:val="false"/>
          <w:bCs w:val="false"/>
          <w:i w:val="false"/>
          <w:iCs w:val="false"/>
          <w:color w:val="1F2937"/>
          <w:sz w:val="22"/>
          <w:szCs w:val="22"/>
        </w:rPr>
        <w:t>Sur le serveur de fichiers, créer un dossier Prive, le partager sous le nom private$ (le $ le rend invisible dans le voisinage réseau) avec les permissions de modification pour permettre la création des sous-dossiers. Supprimer l'héritage :</w:t>
      </w:r>
    </w:p>
    <w:p>
      <w:pPr>
        <w:pStyle w:val="Normal"/>
        <w:spacing w:before="120" w:after="60"/>
        <w:jc w:val="center"/>
        <w:rPr/>
      </w:pPr>
      <w:r>
        <w:rPr/>
        <w:drawing>
          <wp:inline distT="0" distB="0" distL="0" distR="0">
            <wp:extent cx="4572000" cy="60769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572000" cy="60769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Partage du dossier Prive — nom masqué avec $ — permissions de modification</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Étape 2 — Sécurités NTFS</w:t>
      </w:r>
    </w:p>
    <w:p>
      <w:pPr>
        <w:pStyle w:val="Normal"/>
        <w:spacing w:lineRule="auto" w:line="281" w:before="80" w:after="100"/>
        <w:jc w:val="both"/>
        <w:rPr/>
      </w:pPr>
      <w:r>
        <w:rPr>
          <w:rFonts w:eastAsia="Calibri" w:cs="Calibri"/>
          <w:b w:val="false"/>
          <w:bCs w:val="false"/>
          <w:i w:val="false"/>
          <w:iCs w:val="false"/>
          <w:color w:val="1F2937"/>
          <w:sz w:val="22"/>
          <w:szCs w:val="22"/>
        </w:rPr>
        <w:t>Dans l'onglet Sécurité, ajouter le groupe ETUDIANTS en Lecture et Écriture, en précisant que les permissions s'appliquent à ce dossier uniquement (pas aux sous-dossiers). Supprimer l'héritage :</w:t>
      </w:r>
    </w:p>
    <w:p>
      <w:pPr>
        <w:pStyle w:val="Normal"/>
        <w:spacing w:before="120" w:after="60"/>
        <w:jc w:val="center"/>
        <w:rPr/>
      </w:pPr>
      <w:r>
        <w:rPr/>
        <w:drawing>
          <wp:inline distT="0" distB="0" distL="0" distR="0">
            <wp:extent cx="4572000" cy="30765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572000" cy="307657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Sécurités NTFS sur le dossier Prive — groupe ETUDIANTS, dossier seul</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Étape 3 — Attribution via Active Directory</w:t>
      </w:r>
    </w:p>
    <w:p>
      <w:pPr>
        <w:pStyle w:val="Normal"/>
        <w:spacing w:lineRule="auto" w:line="281" w:before="80" w:after="100"/>
        <w:jc w:val="both"/>
        <w:rPr/>
      </w:pPr>
      <w:r>
        <w:rPr>
          <w:rFonts w:eastAsia="Calibri" w:cs="Calibri"/>
          <w:b w:val="false"/>
          <w:bCs w:val="false"/>
          <w:i w:val="false"/>
          <w:iCs w:val="false"/>
          <w:color w:val="1F2937"/>
          <w:sz w:val="22"/>
          <w:szCs w:val="22"/>
        </w:rPr>
        <w:t>Dans Utilisateurs et ordinateurs AD, sélectionner tous les utilisateurs (Ctrl+A) → Propriétés → Profil → Dossier de base, renseigner le chemin UNC :</w:t>
      </w:r>
    </w:p>
    <w:tbl>
      <w:tblPr>
        <w:tblW w:w="9026" w:type="dxa"/>
        <w:jc w:val="start"/>
        <w:tblInd w:w="0" w:type="dxa"/>
        <w:tblLayout w:type="fixed"/>
        <w:tblCellMar>
          <w:top w:w="100" w:type="dxa"/>
          <w:start w:w="200" w:type="dxa"/>
          <w:bottom w:w="100" w:type="dxa"/>
          <w:end w:w="200" w:type="dxa"/>
        </w:tblCellMar>
      </w:tblPr>
      <w:tblGrid>
        <w:gridCol w:w="9026"/>
      </w:tblGrid>
      <w:tr>
        <w:trPr/>
        <w:tc>
          <w:tcPr>
            <w:tcW w:w="9026" w:type="dxa"/>
            <w:tcBorders>
              <w:top w:val="single" w:sz="4" w:space="0" w:color="0078D4"/>
              <w:start w:val="single" w:sz="4" w:space="0" w:color="0078D4"/>
              <w:bottom w:val="single" w:sz="4" w:space="0" w:color="0078D4"/>
              <w:end w:val="single" w:sz="4" w:space="0" w:color="0078D4"/>
            </w:tcBorders>
            <w:shd w:fill="1E1E1E" w:val="clear"/>
          </w:tcPr>
          <w:p>
            <w:pPr>
              <w:pStyle w:val="Normal"/>
              <w:spacing w:lineRule="auto" w:line="240" w:before="0" w:after="0"/>
              <w:rPr/>
            </w:pPr>
            <w:r>
              <w:rPr>
                <w:rFonts w:eastAsia="Courier New" w:cs="Courier New" w:ascii="Courier New" w:hAnsi="Courier New"/>
                <w:color w:val="D4D4D4"/>
                <w:sz w:val="18"/>
                <w:szCs w:val="18"/>
              </w:rPr>
              <w:t>\\NOM_SERVEUR_FICHIER\private$\%username%</w:t>
            </w:r>
          </w:p>
        </w:tc>
      </w:tr>
    </w:tbl>
    <w:p>
      <w:pPr>
        <w:pStyle w:val="Normal"/>
        <w:spacing w:before="120" w:after="60"/>
        <w:jc w:val="center"/>
        <w:rPr/>
      </w:pPr>
      <w:r>
        <w:rPr/>
        <w:drawing>
          <wp:inline distT="0" distB="0" distL="0" distR="0">
            <wp:extent cx="4572000" cy="41719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572000" cy="41719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Attribution du dossier de base aux utilisateurs via les propriétés AD</w:t>
      </w:r>
    </w:p>
    <w:p>
      <w:pPr>
        <w:pStyle w:val="Normal"/>
        <w:spacing w:before="0" w:after="0"/>
        <w:rPr/>
      </w:pPr>
      <w:r>
        <w:rPr/>
      </w:r>
    </w:p>
    <w:p>
      <w:pPr>
        <w:pStyle w:val="Normal"/>
        <w:spacing w:before="120" w:after="60"/>
        <w:jc w:val="center"/>
        <w:rPr/>
      </w:pPr>
      <w:r>
        <w:rPr/>
        <w:drawing>
          <wp:inline distT="0" distB="0" distL="0" distR="0">
            <wp:extent cx="4572000" cy="332422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4572000" cy="332422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Vérification — dossiers privés créés automatiquement dans le partage</w:t>
      </w:r>
    </w:p>
    <w:p>
      <w:pPr>
        <w:pStyle w:val="Normal"/>
        <w:spacing w:before="0" w:after="0"/>
        <w:rPr/>
      </w:pPr>
      <w:r>
        <w:rPr/>
      </w:r>
    </w:p>
    <w:p>
      <w:pPr>
        <w:pStyle w:val="Heading2"/>
        <w:spacing w:before="240" w:after="100"/>
        <w:rPr/>
      </w:pPr>
      <w:r>
        <w:rPr>
          <w:rFonts w:eastAsia="Calibri" w:cs="Calibri" w:ascii="Calibri" w:hAnsi="Calibri"/>
          <w:b/>
          <w:bCs/>
          <w:color w:val="1A3A5C"/>
          <w:sz w:val="26"/>
          <w:szCs w:val="26"/>
        </w:rPr>
        <w:t>4.2  Profils itinérants</w:t>
      </w:r>
    </w:p>
    <w:p>
      <w:pPr>
        <w:pStyle w:val="Normal"/>
        <w:spacing w:lineRule="auto" w:line="281" w:before="80" w:after="100"/>
        <w:jc w:val="both"/>
        <w:rPr/>
      </w:pPr>
      <w:r>
        <w:rPr>
          <w:rFonts w:eastAsia="Calibri" w:cs="Calibri"/>
          <w:b w:val="false"/>
          <w:bCs w:val="false"/>
          <w:i w:val="false"/>
          <w:iCs w:val="false"/>
          <w:color w:val="1F2937"/>
          <w:sz w:val="22"/>
          <w:szCs w:val="22"/>
        </w:rPr>
        <w:t>Le principe est identique aux dossiers privés : créer un dossier partagé avec des droits similaires, puis dans les propriétés AD des utilisateurs → Profil → saisir le chemin du partage :</w:t>
      </w:r>
    </w:p>
    <w:p>
      <w:pPr>
        <w:pStyle w:val="Normal"/>
        <w:spacing w:before="120" w:after="60"/>
        <w:jc w:val="center"/>
        <w:rPr/>
      </w:pPr>
      <w:r>
        <w:rPr/>
        <w:drawing>
          <wp:inline distT="0" distB="0" distL="0" distR="0">
            <wp:extent cx="4572000" cy="421005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572000" cy="42100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Configuration des profils itinérants dans les propriétés utilisateur AD</w:t>
      </w:r>
    </w:p>
    <w:p>
      <w:pPr>
        <w:pStyle w:val="Normal"/>
        <w:spacing w:before="0" w:after="0"/>
        <w:rPr/>
      </w:pPr>
      <w:r>
        <w:rPr/>
      </w:r>
    </w:p>
    <w:p>
      <w:pPr>
        <w:pStyle w:val="Normal"/>
        <w:spacing w:before="120" w:after="60"/>
        <w:jc w:val="center"/>
        <w:rPr/>
      </w:pPr>
      <w:r>
        <w:rPr/>
        <w:drawing>
          <wp:inline distT="0" distB="0" distL="0" distR="0">
            <wp:extent cx="4572000" cy="340995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4572000" cy="34099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Vérification — profil itinérant créé après connexion d'un utilisateur</w:t>
      </w:r>
    </w:p>
    <w:p>
      <w:pPr>
        <w:pStyle w:val="Normal"/>
        <w:rPr/>
      </w:pPr>
      <w:r>
        <w:rPr/>
      </w:r>
      <w:r>
        <w:br w:type="page"/>
      </w:r>
    </w:p>
    <w:p>
      <w:pPr>
        <w:pStyle w:val="Heading1"/>
        <w:pBdr>
          <w:bottom w:val="single" w:sz="8" w:space="4" w:color="0078D4"/>
        </w:pBdr>
        <w:spacing w:before="0" w:after="140"/>
        <w:rPr/>
      </w:pPr>
      <w:r>
        <w:rPr>
          <w:rFonts w:eastAsia="Calibri" w:cs="Calibri" w:ascii="Calibri" w:hAnsi="Calibri"/>
          <w:b/>
          <w:bCs/>
          <w:color w:val="1A3A5C"/>
          <w:sz w:val="34"/>
          <w:szCs w:val="34"/>
        </w:rPr>
        <w:t>5. Ventilation des utilisateurs dans l'arborescence OU</w:t>
      </w:r>
    </w:p>
    <w:p>
      <w:pPr>
        <w:pStyle w:val="Normal"/>
        <w:spacing w:lineRule="auto" w:line="281" w:before="80" w:after="100"/>
        <w:jc w:val="both"/>
        <w:rPr/>
      </w:pPr>
      <w:r>
        <w:rPr>
          <w:rFonts w:eastAsia="Calibri" w:cs="Calibri"/>
          <w:b w:val="false"/>
          <w:bCs w:val="false"/>
          <w:i w:val="false"/>
          <w:iCs w:val="false"/>
          <w:color w:val="1F2937"/>
          <w:sz w:val="22"/>
          <w:szCs w:val="22"/>
        </w:rPr>
        <w:t>Une fois les dossiers privés configurés, les utilisateurs sont déplacés de l'OU Temp vers l'arborescence définitive des unités d'organisation, organisée par département et par promotion.</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Création de l'arborescence OU</w:t>
      </w:r>
    </w:p>
    <w:p>
      <w:pPr>
        <w:pStyle w:val="Normal"/>
        <w:spacing w:before="120" w:after="60"/>
        <w:jc w:val="center"/>
        <w:rPr/>
      </w:pPr>
      <w:r>
        <w:rPr/>
        <w:drawing>
          <wp:inline distT="0" distB="0" distL="0" distR="0">
            <wp:extent cx="4572000" cy="32194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4572000" cy="32194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Arborescence complète des unités d'organisation IUTO109.com</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Script de ventilation</w:t>
      </w:r>
    </w:p>
    <w:p>
      <w:pPr>
        <w:pStyle w:val="Normal"/>
        <w:spacing w:lineRule="auto" w:line="281" w:before="80" w:after="100"/>
        <w:jc w:val="both"/>
        <w:rPr/>
      </w:pPr>
      <w:r>
        <w:rPr>
          <w:rFonts w:eastAsia="Calibri" w:cs="Calibri"/>
          <w:b w:val="false"/>
          <w:bCs w:val="false"/>
          <w:i w:val="false"/>
          <w:iCs w:val="false"/>
          <w:color w:val="1F2937"/>
          <w:sz w:val="22"/>
          <w:szCs w:val="22"/>
        </w:rPr>
        <w:t>Un script PowerShell lit le fichier CSV généré lors de la création des comptes et déplace chaque utilisateur dans l'OU correspondant à sa classe.</w:t>
      </w:r>
    </w:p>
    <w:tbl>
      <w:tblPr>
        <w:tblW w:w="9026" w:type="dxa"/>
        <w:jc w:val="start"/>
        <w:tblInd w:w="0" w:type="dxa"/>
        <w:tblLayout w:type="fixed"/>
        <w:tblCellMar>
          <w:top w:w="100" w:type="dxa"/>
          <w:start w:w="200" w:type="dxa"/>
          <w:bottom w:w="100" w:type="dxa"/>
          <w:end w:w="200" w:type="dxa"/>
        </w:tblCellMar>
      </w:tblPr>
      <w:tblGrid>
        <w:gridCol w:w="9026"/>
      </w:tblGrid>
      <w:tr>
        <w:trPr/>
        <w:tc>
          <w:tcPr>
            <w:tcW w:w="9026" w:type="dxa"/>
            <w:tcBorders>
              <w:top w:val="single" w:sz="4" w:space="0" w:color="107C10"/>
              <w:start w:val="single" w:sz="4" w:space="0" w:color="107C10"/>
              <w:bottom w:val="single" w:sz="4" w:space="0" w:color="107C10"/>
              <w:end w:val="single" w:sz="4" w:space="0" w:color="107C10"/>
            </w:tcBorders>
            <w:shd w:fill="012456" w:val="clear"/>
          </w:tcPr>
          <w:p>
            <w:pPr>
              <w:pStyle w:val="Normal"/>
              <w:spacing w:lineRule="auto" w:line="240" w:before="0" w:after="0"/>
              <w:rPr/>
            </w:pPr>
            <w:r>
              <w:rPr>
                <w:rFonts w:eastAsia="Courier New" w:cs="Courier New" w:ascii="Courier New" w:hAnsi="Courier New"/>
                <w:color w:val="EEEDF0"/>
                <w:sz w:val="18"/>
                <w:szCs w:val="18"/>
              </w:rPr>
              <w:t># Prérequis sur le serveur de fichiers :</w:t>
            </w:r>
          </w:p>
          <w:p>
            <w:pPr>
              <w:pStyle w:val="Normal"/>
              <w:spacing w:lineRule="auto" w:line="240" w:before="0" w:after="0"/>
              <w:rPr/>
            </w:pPr>
            <w:r>
              <w:rPr>
                <w:rFonts w:eastAsia="Courier New" w:cs="Courier New" w:ascii="Courier New" w:hAnsi="Courier New"/>
                <w:color w:val="EEEDF0"/>
                <w:sz w:val="18"/>
                <w:szCs w:val="18"/>
              </w:rPr>
              <w:t>Install-WindowsFeature -Name RSAT-AD-PowerShell</w:t>
            </w:r>
          </w:p>
          <w:p>
            <w:pPr>
              <w:pStyle w:val="Normal"/>
              <w:spacing w:lineRule="auto" w:line="240" w:before="0" w:after="0"/>
              <w:rPr/>
            </w:pPr>
            <w:r>
              <w:rPr>
                <w:rFonts w:eastAsia="Courier New" w:cs="Courier New" w:ascii="Courier New" w:hAnsi="Courier New"/>
                <w:color w:val="EEEDF0"/>
                <w:sz w:val="18"/>
                <w:szCs w:val="18"/>
              </w:rPr>
              <w:t># (Permet d'utiliser les cmdlets Active Directory depuis le serveur de fichiers)</w:t>
            </w:r>
          </w:p>
        </w:tc>
      </w:tr>
    </w:tbl>
    <w:p>
      <w:pPr>
        <w:pStyle w:val="Normal"/>
        <w:spacing w:before="120" w:after="60"/>
        <w:jc w:val="center"/>
        <w:rPr/>
      </w:pPr>
      <w:r>
        <w:rPr/>
        <w:drawing>
          <wp:inline distT="0" distB="0" distL="0" distR="0">
            <wp:extent cx="4572000" cy="24479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4572000" cy="244792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Exécution du script de ventilation — déplacement des utilisateurs dans les OU</w:t>
      </w:r>
    </w:p>
    <w:p>
      <w:pPr>
        <w:pStyle w:val="Normal"/>
        <w:rPr/>
      </w:pPr>
      <w:r>
        <w:rPr/>
      </w:r>
      <w:r>
        <w:br w:type="page"/>
      </w:r>
    </w:p>
    <w:p>
      <w:pPr>
        <w:pStyle w:val="Heading1"/>
        <w:pBdr>
          <w:bottom w:val="single" w:sz="8" w:space="4" w:color="0078D4"/>
        </w:pBdr>
        <w:spacing w:before="0" w:after="140"/>
        <w:rPr/>
      </w:pPr>
      <w:r>
        <w:rPr>
          <w:rFonts w:eastAsia="Calibri" w:cs="Calibri" w:ascii="Calibri" w:hAnsi="Calibri"/>
          <w:b/>
          <w:bCs/>
          <w:color w:val="1A3A5C"/>
          <w:sz w:val="34"/>
          <w:szCs w:val="34"/>
        </w:rPr>
        <w:t>6. Dossiers promotion — Partages et sécurités</w:t>
      </w:r>
    </w:p>
    <w:p>
      <w:pPr>
        <w:pStyle w:val="Heading2"/>
        <w:spacing w:before="240" w:after="100"/>
        <w:rPr/>
      </w:pPr>
      <w:r>
        <w:rPr>
          <w:rFonts w:eastAsia="Calibri" w:cs="Calibri" w:ascii="Calibri" w:hAnsi="Calibri"/>
          <w:b/>
          <w:bCs/>
          <w:color w:val="1A3A5C"/>
          <w:sz w:val="26"/>
          <w:szCs w:val="26"/>
        </w:rPr>
        <w:t>6.1  Script de création des dossiers</w:t>
      </w:r>
    </w:p>
    <w:p>
      <w:pPr>
        <w:pStyle w:val="Normal"/>
        <w:spacing w:lineRule="auto" w:line="281" w:before="80" w:after="100"/>
        <w:jc w:val="both"/>
        <w:rPr/>
      </w:pPr>
      <w:r>
        <w:rPr>
          <w:rFonts w:eastAsia="Calibri" w:cs="Calibri"/>
          <w:b w:val="false"/>
          <w:bCs w:val="false"/>
          <w:i w:val="false"/>
          <w:iCs w:val="false"/>
          <w:color w:val="1F2937"/>
          <w:sz w:val="22"/>
          <w:szCs w:val="22"/>
        </w:rPr>
        <w:t>Le script PowerShell crée l'arborescence complète des dossiers de promotion, supprime les droits hérités, et applique les permissions NTFS adaptées à chaque groupe. L'accès RSAT-AD-PowerShell doit être installé au préalable.</w:t>
      </w:r>
    </w:p>
    <w:p>
      <w:pPr>
        <w:pStyle w:val="Normal"/>
        <w:spacing w:before="0" w:after="0"/>
        <w:rPr/>
      </w:pPr>
      <w:r>
        <w:rPr/>
      </w:r>
    </w:p>
    <w:tbl>
      <w:tblPr>
        <w:tblW w:w="9026" w:type="dxa"/>
        <w:jc w:val="start"/>
        <w:tblInd w:w="0" w:type="dxa"/>
        <w:tblLayout w:type="fixed"/>
        <w:tblCellMar>
          <w:top w:w="80" w:type="dxa"/>
          <w:start w:w="160" w:type="dxa"/>
          <w:bottom w:w="80" w:type="dxa"/>
          <w:end w:w="160" w:type="dxa"/>
        </w:tblCellMar>
      </w:tblPr>
      <w:tblGrid>
        <w:gridCol w:w="9026"/>
      </w:tblGrid>
      <w:tr>
        <w:trPr/>
        <w:tc>
          <w:tcPr>
            <w:tcW w:w="9026" w:type="dxa"/>
            <w:tcBorders>
              <w:top w:val="single" w:sz="6" w:space="0" w:color="FF8C00"/>
              <w:start w:val="single" w:sz="6" w:space="0" w:color="FF8C00"/>
              <w:bottom w:val="single" w:sz="6" w:space="0" w:color="FF8C00"/>
              <w:end w:val="single" w:sz="6" w:space="0" w:color="FF8C00"/>
            </w:tcBorders>
            <w:shd w:fill="FFF8E1" w:val="clear"/>
          </w:tcPr>
          <w:p>
            <w:pPr>
              <w:pStyle w:val="Normal"/>
              <w:spacing w:before="0" w:after="0"/>
              <w:rPr/>
            </w:pPr>
            <w:r>
              <w:rPr>
                <w:rFonts w:eastAsia="Calibri" w:cs="Calibri"/>
                <w:sz w:val="20"/>
                <w:szCs w:val="20"/>
              </w:rPr>
              <w:t xml:space="preserve">⚠️  </w:t>
            </w:r>
            <w:r>
              <w:rPr>
                <w:rFonts w:eastAsia="Calibri" w:cs="Calibri"/>
                <w:color w:val="1F2937"/>
                <w:sz w:val="20"/>
                <w:szCs w:val="20"/>
              </w:rPr>
              <w:t>Le script supprime les dossiers existants avant de les recréer. Vérifier qu'aucune donnée importante n'est présente avant l'exécution.</w:t>
            </w:r>
          </w:p>
        </w:tc>
      </w:tr>
    </w:tbl>
    <w:p>
      <w:pPr>
        <w:pStyle w:val="Normal"/>
        <w:spacing w:before="0" w:after="0"/>
        <w:rPr/>
      </w:pPr>
      <w:r>
        <w:rPr/>
      </w:r>
    </w:p>
    <w:p>
      <w:pPr>
        <w:pStyle w:val="Heading2"/>
        <w:spacing w:before="240" w:after="100"/>
        <w:rPr/>
      </w:pPr>
      <w:r>
        <w:rPr>
          <w:rFonts w:eastAsia="Calibri" w:cs="Calibri" w:ascii="Calibri" w:hAnsi="Calibri"/>
          <w:b/>
          <w:bCs/>
          <w:color w:val="1A3A5C"/>
          <w:sz w:val="26"/>
          <w:szCs w:val="26"/>
        </w:rPr>
        <w:t>6.2  Arborescence et permissions</w:t>
      </w:r>
    </w:p>
    <w:p>
      <w:pPr>
        <w:pStyle w:val="Normal"/>
        <w:spacing w:lineRule="auto" w:line="281" w:before="80" w:after="100"/>
        <w:jc w:val="both"/>
        <w:rPr/>
      </w:pPr>
      <w:r>
        <w:rPr>
          <w:rFonts w:eastAsia="Calibri" w:cs="Calibri"/>
          <w:b w:val="false"/>
          <w:bCs w:val="false"/>
          <w:i w:val="false"/>
          <w:iCs w:val="false"/>
          <w:color w:val="1F2937"/>
          <w:sz w:val="22"/>
          <w:szCs w:val="22"/>
        </w:rPr>
        <w:t>Le partage réseau s'effectue à partir du niveau département/année (ex : chimie/chimie1). Le nom de partage est masqué avec le suffixe $ et diffère du nom réel du dossier pour ne pas exposer l'arborescence.</w:t>
      </w:r>
    </w:p>
    <w:p>
      <w:pPr>
        <w:pStyle w:val="Normal"/>
        <w:spacing w:before="0" w:after="0"/>
        <w:rPr/>
      </w:pPr>
      <w:r>
        <w:rPr/>
      </w:r>
    </w:p>
    <w:tbl>
      <w:tblPr>
        <w:tblW w:w="9026" w:type="dxa"/>
        <w:jc w:val="start"/>
        <w:tblInd w:w="0" w:type="dxa"/>
        <w:tblLayout w:type="fixed"/>
        <w:tblCellMar>
          <w:top w:w="80" w:type="dxa"/>
          <w:start w:w="160" w:type="dxa"/>
          <w:bottom w:w="80" w:type="dxa"/>
          <w:end w:w="160" w:type="dxa"/>
        </w:tblCellMar>
      </w:tblPr>
      <w:tblGrid>
        <w:gridCol w:w="9026"/>
      </w:tblGrid>
      <w:tr>
        <w:trPr/>
        <w:tc>
          <w:tcPr>
            <w:tcW w:w="9026" w:type="dxa"/>
            <w:tcBorders>
              <w:top w:val="single" w:sz="6" w:space="0" w:color="0078D4"/>
              <w:start w:val="single" w:sz="6" w:space="0" w:color="0078D4"/>
              <w:bottom w:val="single" w:sz="6" w:space="0" w:color="0078D4"/>
              <w:end w:val="single" w:sz="6" w:space="0" w:color="0078D4"/>
            </w:tcBorders>
            <w:shd w:fill="E8F4FD" w:val="clear"/>
          </w:tcPr>
          <w:p>
            <w:pPr>
              <w:pStyle w:val="Normal"/>
              <w:spacing w:before="0" w:after="0"/>
              <w:rPr/>
            </w:pPr>
            <w:r>
              <w:rPr>
                <w:rFonts w:eastAsia="Calibri" w:cs="Calibri"/>
                <w:sz w:val="20"/>
                <w:szCs w:val="20"/>
              </w:rPr>
              <w:t xml:space="preserve">ℹ️  </w:t>
            </w:r>
            <w:r>
              <w:rPr>
                <w:rFonts w:eastAsia="Calibri" w:cs="Calibri"/>
                <w:color w:val="1F2937"/>
                <w:sz w:val="20"/>
                <w:szCs w:val="20"/>
              </w:rPr>
              <w:t>Rappel : si deux permissions du même type (deux NTFS ou deux partages réseau) s'appliquent, c'est la plus permissive qui prime. Si elles sont de types différents (NTFS + partage), c'est la plus restrictive qui est appliquée.</w:t>
            </w:r>
          </w:p>
        </w:tc>
      </w:tr>
    </w:tbl>
    <w:p>
      <w:pPr>
        <w:pStyle w:val="Normal"/>
        <w:spacing w:before="0" w:after="0"/>
        <w:rPr/>
      </w:pPr>
      <w:r>
        <w:rPr/>
      </w:r>
    </w:p>
    <w:p>
      <w:pPr>
        <w:pStyle w:val="Heading3"/>
        <w:spacing w:before="180" w:after="60"/>
        <w:rPr/>
      </w:pPr>
      <w:r>
        <w:rPr>
          <w:rFonts w:eastAsia="Calibri" w:cs="Calibri" w:ascii="Calibri" w:hAnsi="Calibri"/>
          <w:b/>
          <w:bCs/>
          <w:color w:val="0078D4"/>
          <w:sz w:val="22"/>
          <w:szCs w:val="22"/>
        </w:rPr>
        <w:t>Arborescence et règles de permissions</w:t>
      </w:r>
    </w:p>
    <w:tbl>
      <w:tblPr>
        <w:tblW w:w="9026" w:type="dxa"/>
        <w:jc w:val="start"/>
        <w:tblInd w:w="0" w:type="dxa"/>
        <w:tblLayout w:type="fixed"/>
        <w:tblCellMar>
          <w:top w:w="80" w:type="dxa"/>
          <w:start w:w="100" w:type="dxa"/>
          <w:bottom w:w="80" w:type="dxa"/>
          <w:end w:w="100" w:type="dxa"/>
        </w:tblCellMar>
      </w:tblPr>
      <w:tblGrid>
        <w:gridCol w:w="2000"/>
        <w:gridCol w:w="2500"/>
        <w:gridCol w:w="2499"/>
        <w:gridCol w:w="2027"/>
      </w:tblGrid>
      <w:tr>
        <w:trPr>
          <w:tblHeader w:val="true"/>
        </w:trPr>
        <w:tc>
          <w:tcPr>
            <w:tcW w:w="2000"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18"/>
                <w:szCs w:val="18"/>
              </w:rPr>
              <w:t>Dossier</w:t>
            </w:r>
          </w:p>
        </w:tc>
        <w:tc>
          <w:tcPr>
            <w:tcW w:w="2500"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18"/>
                <w:szCs w:val="18"/>
              </w:rPr>
              <w:t>Groupe</w:t>
            </w:r>
          </w:p>
        </w:tc>
        <w:tc>
          <w:tcPr>
            <w:tcW w:w="2499"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18"/>
                <w:szCs w:val="18"/>
              </w:rPr>
              <w:t>Partage réseau</w:t>
            </w:r>
          </w:p>
        </w:tc>
        <w:tc>
          <w:tcPr>
            <w:tcW w:w="2027" w:type="dxa"/>
            <w:tcBorders>
              <w:top w:val="single" w:sz="4" w:space="0" w:color="D0D7DE"/>
              <w:start w:val="single" w:sz="4" w:space="0" w:color="D0D7DE"/>
              <w:bottom w:val="single" w:sz="4" w:space="0" w:color="D0D7DE"/>
              <w:end w:val="single" w:sz="4" w:space="0" w:color="D0D7DE"/>
            </w:tcBorders>
            <w:shd w:fill="1A3A5C" w:val="clear"/>
          </w:tcPr>
          <w:p>
            <w:pPr>
              <w:pStyle w:val="Normal"/>
              <w:rPr/>
            </w:pPr>
            <w:r>
              <w:rPr>
                <w:rFonts w:eastAsia="Calibri" w:cs="Calibri"/>
                <w:b/>
                <w:bCs/>
                <w:color w:val="FFFFFF"/>
                <w:sz w:val="18"/>
                <w:szCs w:val="18"/>
              </w:rPr>
              <w:t>Sécurité NTFS</w:t>
            </w:r>
          </w:p>
        </w:tc>
      </w:tr>
      <w:tr>
        <w:trPr/>
        <w:tc>
          <w:tcPr>
            <w:tcW w:w="20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ourier New" w:cs="Courier New" w:ascii="Courier New" w:hAnsi="Courier New"/>
                <w:b/>
                <w:bCs/>
                <w:color w:val="1A3A5C"/>
                <w:sz w:val="18"/>
                <w:szCs w:val="18"/>
              </w:rPr>
              <w:t>chimie1/</w:t>
            </w:r>
          </w:p>
        </w:tc>
        <w:tc>
          <w:tcPr>
            <w:tcW w:w="25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CHIMIE1</w:t>
            </w:r>
          </w:p>
        </w:tc>
        <w:tc>
          <w:tcPr>
            <w:tcW w:w="2499"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Lecture/Écriture (promoCHIMIE1$)</w:t>
            </w:r>
          </w:p>
        </w:tc>
        <w:tc>
          <w:tcPr>
            <w:tcW w:w="2027"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Lecture seule CHIMIE1 + L/E PROF</w:t>
            </w:r>
          </w:p>
        </w:tc>
      </w:tr>
      <w:tr>
        <w:trPr/>
        <w:tc>
          <w:tcPr>
            <w:tcW w:w="20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ourier New" w:cs="Courier New" w:ascii="Courier New" w:hAnsi="Courier New"/>
                <w:b/>
                <w:bCs/>
                <w:color w:val="1A3A5C"/>
                <w:sz w:val="18"/>
                <w:szCs w:val="18"/>
              </w:rPr>
              <w:t>chimie1/depot_travail/</w:t>
            </w:r>
          </w:p>
        </w:tc>
        <w:tc>
          <w:tcPr>
            <w:tcW w:w="25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CHIMIE1</w:t>
            </w:r>
          </w:p>
        </w:tc>
        <w:tc>
          <w:tcPr>
            <w:tcW w:w="2499"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(héritage désactivé)</w:t>
            </w:r>
          </w:p>
        </w:tc>
        <w:tc>
          <w:tcPr>
            <w:tcW w:w="2027"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Lecture/Écriture CHIMIE1</w:t>
            </w:r>
          </w:p>
        </w:tc>
      </w:tr>
      <w:tr>
        <w:trPr/>
        <w:tc>
          <w:tcPr>
            <w:tcW w:w="20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ourier New" w:cs="Courier New" w:ascii="Courier New" w:hAnsi="Courier New"/>
                <w:b/>
                <w:bCs/>
                <w:color w:val="1A3A5C"/>
                <w:sz w:val="18"/>
                <w:szCs w:val="18"/>
              </w:rPr>
              <w:t>chimie1/enonce/</w:t>
            </w:r>
          </w:p>
        </w:tc>
        <w:tc>
          <w:tcPr>
            <w:tcW w:w="25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CHIMIE1</w:t>
            </w:r>
          </w:p>
        </w:tc>
        <w:tc>
          <w:tcPr>
            <w:tcW w:w="2499"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(héritage désactivé)</w:t>
            </w:r>
          </w:p>
        </w:tc>
        <w:tc>
          <w:tcPr>
            <w:tcW w:w="2027"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Lecture seule CHIMIE1</w:t>
            </w:r>
          </w:p>
        </w:tc>
      </w:tr>
      <w:tr>
        <w:trPr/>
        <w:tc>
          <w:tcPr>
            <w:tcW w:w="20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ourier New" w:cs="Courier New" w:ascii="Courier New" w:hAnsi="Courier New"/>
                <w:b/>
                <w:bCs/>
                <w:color w:val="1A3A5C"/>
                <w:sz w:val="18"/>
                <w:szCs w:val="18"/>
              </w:rPr>
              <w:t>chimie1/travail_groupe/</w:t>
            </w:r>
          </w:p>
        </w:tc>
        <w:tc>
          <w:tcPr>
            <w:tcW w:w="25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CHIMIE1</w:t>
            </w:r>
          </w:p>
        </w:tc>
        <w:tc>
          <w:tcPr>
            <w:tcW w:w="2499"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(héritage désactivé)</w:t>
            </w:r>
          </w:p>
        </w:tc>
        <w:tc>
          <w:tcPr>
            <w:tcW w:w="2027"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Lecture/Écriture CHIMIE1</w:t>
            </w:r>
          </w:p>
        </w:tc>
      </w:tr>
      <w:tr>
        <w:trPr/>
        <w:tc>
          <w:tcPr>
            <w:tcW w:w="20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ourier New" w:cs="Courier New" w:ascii="Courier New" w:hAnsi="Courier New"/>
                <w:b/>
                <w:bCs/>
                <w:color w:val="1A3A5C"/>
                <w:sz w:val="18"/>
                <w:szCs w:val="18"/>
              </w:rPr>
              <w:t>chimie2/</w:t>
            </w:r>
          </w:p>
        </w:tc>
        <w:tc>
          <w:tcPr>
            <w:tcW w:w="25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w:t>
            </w:r>
          </w:p>
        </w:tc>
        <w:tc>
          <w:tcPr>
            <w:tcW w:w="2499"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(idem chimie1)</w:t>
            </w:r>
          </w:p>
        </w:tc>
        <w:tc>
          <w:tcPr>
            <w:tcW w:w="2027"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(idem chimie1)</w:t>
            </w:r>
          </w:p>
        </w:tc>
      </w:tr>
      <w:tr>
        <w:trPr/>
        <w:tc>
          <w:tcPr>
            <w:tcW w:w="20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ourier New" w:cs="Courier New" w:ascii="Courier New" w:hAnsi="Courier New"/>
                <w:b/>
                <w:bCs/>
                <w:color w:val="1A3A5C"/>
                <w:sz w:val="18"/>
                <w:szCs w:val="18"/>
              </w:rPr>
              <w:t>chimie3/</w:t>
            </w:r>
          </w:p>
        </w:tc>
        <w:tc>
          <w:tcPr>
            <w:tcW w:w="25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w:t>
            </w:r>
          </w:p>
        </w:tc>
        <w:tc>
          <w:tcPr>
            <w:tcW w:w="2499"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(idem chimie1)</w:t>
            </w:r>
          </w:p>
        </w:tc>
        <w:tc>
          <w:tcPr>
            <w:tcW w:w="2027"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(idem chimie1)</w:t>
            </w:r>
          </w:p>
        </w:tc>
      </w:tr>
      <w:tr>
        <w:trPr/>
        <w:tc>
          <w:tcPr>
            <w:tcW w:w="20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ourier New" w:cs="Courier New" w:ascii="Courier New" w:hAnsi="Courier New"/>
                <w:b/>
                <w:bCs/>
                <w:color w:val="1A3A5C"/>
                <w:sz w:val="18"/>
                <w:szCs w:val="18"/>
              </w:rPr>
              <w:t>gea/</w:t>
            </w:r>
          </w:p>
        </w:tc>
        <w:tc>
          <w:tcPr>
            <w:tcW w:w="25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GEA*</w:t>
            </w:r>
          </w:p>
        </w:tc>
        <w:tc>
          <w:tcPr>
            <w:tcW w:w="2499"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Même logique</w:t>
            </w:r>
          </w:p>
        </w:tc>
        <w:tc>
          <w:tcPr>
            <w:tcW w:w="2027"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Même logique</w:t>
            </w:r>
          </w:p>
        </w:tc>
      </w:tr>
      <w:tr>
        <w:trPr/>
        <w:tc>
          <w:tcPr>
            <w:tcW w:w="20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ourier New" w:cs="Courier New" w:ascii="Courier New" w:hAnsi="Courier New"/>
                <w:b/>
                <w:bCs/>
                <w:color w:val="1A3A5C"/>
                <w:sz w:val="18"/>
                <w:szCs w:val="18"/>
              </w:rPr>
              <w:t>gmp/</w:t>
            </w:r>
          </w:p>
        </w:tc>
        <w:tc>
          <w:tcPr>
            <w:tcW w:w="25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GMP*</w:t>
            </w:r>
          </w:p>
        </w:tc>
        <w:tc>
          <w:tcPr>
            <w:tcW w:w="2499"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Même logique</w:t>
            </w:r>
          </w:p>
        </w:tc>
        <w:tc>
          <w:tcPr>
            <w:tcW w:w="2027"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Même logique</w:t>
            </w:r>
          </w:p>
        </w:tc>
      </w:tr>
      <w:tr>
        <w:trPr/>
        <w:tc>
          <w:tcPr>
            <w:tcW w:w="20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ourier New" w:cs="Courier New" w:ascii="Courier New" w:hAnsi="Courier New"/>
                <w:b/>
                <w:bCs/>
                <w:color w:val="1A3A5C"/>
                <w:sz w:val="18"/>
                <w:szCs w:val="18"/>
              </w:rPr>
              <w:t>gte/</w:t>
            </w:r>
          </w:p>
        </w:tc>
        <w:tc>
          <w:tcPr>
            <w:tcW w:w="25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GTE*</w:t>
            </w:r>
          </w:p>
        </w:tc>
        <w:tc>
          <w:tcPr>
            <w:tcW w:w="2499"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Même logique</w:t>
            </w:r>
          </w:p>
        </w:tc>
        <w:tc>
          <w:tcPr>
            <w:tcW w:w="2027"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Même logique</w:t>
            </w:r>
          </w:p>
        </w:tc>
      </w:tr>
      <w:tr>
        <w:trPr/>
        <w:tc>
          <w:tcPr>
            <w:tcW w:w="20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ourier New" w:cs="Courier New" w:ascii="Courier New" w:hAnsi="Courier New"/>
                <w:b/>
                <w:bCs/>
                <w:color w:val="1A3A5C"/>
                <w:sz w:val="18"/>
                <w:szCs w:val="18"/>
              </w:rPr>
              <w:t>info/</w:t>
            </w:r>
          </w:p>
        </w:tc>
        <w:tc>
          <w:tcPr>
            <w:tcW w:w="2500"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INFO*</w:t>
            </w:r>
          </w:p>
        </w:tc>
        <w:tc>
          <w:tcPr>
            <w:tcW w:w="2499"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Même logique</w:t>
            </w:r>
          </w:p>
        </w:tc>
        <w:tc>
          <w:tcPr>
            <w:tcW w:w="2027" w:type="dxa"/>
            <w:tcBorders>
              <w:top w:val="single" w:sz="4" w:space="0" w:color="D0D7DE"/>
              <w:start w:val="single" w:sz="4" w:space="0" w:color="D0D7DE"/>
              <w:bottom w:val="single" w:sz="4" w:space="0" w:color="D0D7DE"/>
              <w:end w:val="single" w:sz="4" w:space="0" w:color="D0D7DE"/>
            </w:tcBorders>
            <w:shd w:fill="F3F4F6" w:val="clear"/>
            <w:tcMar>
              <w:top w:w="70" w:type="dxa"/>
              <w:bottom w:w="70" w:type="dxa"/>
            </w:tcMar>
          </w:tcPr>
          <w:p>
            <w:pPr>
              <w:pStyle w:val="Normal"/>
              <w:rPr/>
            </w:pPr>
            <w:r>
              <w:rPr>
                <w:rFonts w:eastAsia="Calibri" w:cs="Calibri"/>
                <w:b w:val="false"/>
                <w:bCs w:val="false"/>
                <w:color w:val="1F2937"/>
                <w:sz w:val="18"/>
                <w:szCs w:val="18"/>
              </w:rPr>
              <w:t>Même logique</w:t>
            </w:r>
          </w:p>
        </w:tc>
      </w:tr>
      <w:tr>
        <w:trPr/>
        <w:tc>
          <w:tcPr>
            <w:tcW w:w="20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ourier New" w:cs="Courier New" w:ascii="Courier New" w:hAnsi="Courier New"/>
                <w:b/>
                <w:bCs/>
                <w:color w:val="1A3A5C"/>
                <w:sz w:val="18"/>
                <w:szCs w:val="18"/>
              </w:rPr>
              <w:t>qlio/</w:t>
            </w:r>
          </w:p>
        </w:tc>
        <w:tc>
          <w:tcPr>
            <w:tcW w:w="2500"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QLIO*</w:t>
            </w:r>
          </w:p>
        </w:tc>
        <w:tc>
          <w:tcPr>
            <w:tcW w:w="2499"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Même logique</w:t>
            </w:r>
          </w:p>
        </w:tc>
        <w:tc>
          <w:tcPr>
            <w:tcW w:w="2027" w:type="dxa"/>
            <w:tcBorders>
              <w:top w:val="single" w:sz="4" w:space="0" w:color="D0D7DE"/>
              <w:start w:val="single" w:sz="4" w:space="0" w:color="D0D7DE"/>
              <w:bottom w:val="single" w:sz="4" w:space="0" w:color="D0D7DE"/>
              <w:end w:val="single" w:sz="4" w:space="0" w:color="D0D7DE"/>
            </w:tcBorders>
            <w:shd w:fill="FFFFFF" w:val="clear"/>
            <w:tcMar>
              <w:top w:w="70" w:type="dxa"/>
              <w:bottom w:w="70" w:type="dxa"/>
            </w:tcMar>
          </w:tcPr>
          <w:p>
            <w:pPr>
              <w:pStyle w:val="Normal"/>
              <w:rPr/>
            </w:pPr>
            <w:r>
              <w:rPr>
                <w:rFonts w:eastAsia="Calibri" w:cs="Calibri"/>
                <w:b w:val="false"/>
                <w:bCs w:val="false"/>
                <w:color w:val="1F2937"/>
                <w:sz w:val="18"/>
                <w:szCs w:val="18"/>
              </w:rPr>
              <w:t>Même logique</w:t>
            </w:r>
          </w:p>
        </w:tc>
      </w:tr>
    </w:tbl>
    <w:p>
      <w:pPr>
        <w:pStyle w:val="Normal"/>
        <w:rPr/>
      </w:pPr>
      <w:r>
        <w:rPr/>
      </w:r>
      <w:r>
        <w:br w:type="page"/>
      </w:r>
    </w:p>
    <w:p>
      <w:pPr>
        <w:pStyle w:val="Heading1"/>
        <w:pBdr>
          <w:bottom w:val="single" w:sz="8" w:space="4" w:color="0078D4"/>
        </w:pBdr>
        <w:spacing w:before="0" w:after="140"/>
        <w:rPr/>
      </w:pPr>
      <w:r>
        <w:rPr>
          <w:rFonts w:eastAsia="Calibri" w:cs="Calibri" w:ascii="Calibri" w:hAnsi="Calibri"/>
          <w:b/>
          <w:bCs/>
          <w:color w:val="1A3A5C"/>
          <w:sz w:val="34"/>
          <w:szCs w:val="34"/>
        </w:rPr>
        <w:t>7. GPO — Lecteurs réseau (mappage automatique)</w:t>
      </w:r>
    </w:p>
    <w:tbl>
      <w:tblPr>
        <w:tblW w:w="9026" w:type="dxa"/>
        <w:jc w:val="start"/>
        <w:tblInd w:w="0" w:type="dxa"/>
        <w:tblLayout w:type="fixed"/>
        <w:tblCellMar>
          <w:top w:w="80" w:type="dxa"/>
          <w:start w:w="160" w:type="dxa"/>
          <w:bottom w:w="80" w:type="dxa"/>
          <w:end w:w="160" w:type="dxa"/>
        </w:tblCellMar>
      </w:tblPr>
      <w:tblGrid>
        <w:gridCol w:w="9026"/>
      </w:tblGrid>
      <w:tr>
        <w:trPr/>
        <w:tc>
          <w:tcPr>
            <w:tcW w:w="9026" w:type="dxa"/>
            <w:tcBorders>
              <w:top w:val="single" w:sz="6" w:space="0" w:color="D32F2F"/>
              <w:start w:val="single" w:sz="6" w:space="0" w:color="D32F2F"/>
              <w:bottom w:val="single" w:sz="6" w:space="0" w:color="D32F2F"/>
              <w:end w:val="single" w:sz="6" w:space="0" w:color="D32F2F"/>
            </w:tcBorders>
            <w:shd w:fill="FFF0F0" w:val="clear"/>
          </w:tcPr>
          <w:p>
            <w:pPr>
              <w:pStyle w:val="Normal"/>
              <w:spacing w:before="0" w:after="0"/>
              <w:rPr/>
            </w:pPr>
            <w:r>
              <w:rPr>
                <w:rFonts w:eastAsia="Calibri" w:cs="Calibri"/>
                <w:sz w:val="20"/>
                <w:szCs w:val="20"/>
              </w:rPr>
              <w:t xml:space="preserve">🚫  </w:t>
            </w:r>
            <w:r>
              <w:rPr>
                <w:rFonts w:eastAsia="Calibri" w:cs="Calibri"/>
                <w:color w:val="1F2937"/>
                <w:sz w:val="20"/>
                <w:szCs w:val="20"/>
              </w:rPr>
              <w:t>Les GPO de mappage lecteur doivent être appliquées sur les UTILISATEURS (OU des utilisateurs), pas sur les groupes de sécurité. Une GPO appliquée uniquement sur un groupe ne sera pas traitée.</w:t>
            </w:r>
          </w:p>
        </w:tc>
      </w:tr>
    </w:tbl>
    <w:p>
      <w:pPr>
        <w:pStyle w:val="Normal"/>
        <w:spacing w:before="0" w:after="0"/>
        <w:rPr/>
      </w:pPr>
      <w:r>
        <w:rPr/>
      </w:r>
    </w:p>
    <w:p>
      <w:pPr>
        <w:pStyle w:val="Heading3"/>
        <w:spacing w:before="180" w:after="60"/>
        <w:rPr/>
      </w:pPr>
      <w:r>
        <w:rPr>
          <w:rFonts w:eastAsia="Calibri" w:cs="Calibri" w:ascii="Calibri" w:hAnsi="Calibri"/>
          <w:b/>
          <w:bCs/>
          <w:color w:val="0078D4"/>
          <w:sz w:val="22"/>
          <w:szCs w:val="22"/>
        </w:rPr>
        <w:t>Étape 1 — Créer et lier l'objet GPO</w:t>
      </w:r>
    </w:p>
    <w:p>
      <w:pPr>
        <w:pStyle w:val="Normal"/>
        <w:spacing w:lineRule="auto" w:line="281" w:before="80" w:after="100"/>
        <w:jc w:val="both"/>
        <w:rPr/>
      </w:pPr>
      <w:r>
        <w:rPr>
          <w:rFonts w:eastAsia="Calibri" w:cs="Calibri"/>
          <w:b w:val="false"/>
          <w:bCs w:val="false"/>
          <w:i w:val="false"/>
          <w:iCs w:val="false"/>
          <w:color w:val="1F2937"/>
          <w:sz w:val="22"/>
          <w:szCs w:val="22"/>
        </w:rPr>
        <w:t>Dans la Gestion de stratégie de groupe, faire un clic droit sur l'OU promo → Créer un objet GPO dans ce domaine et le lier ici :</w:t>
      </w:r>
    </w:p>
    <w:p>
      <w:pPr>
        <w:pStyle w:val="Normal"/>
        <w:spacing w:before="120" w:after="60"/>
        <w:jc w:val="center"/>
        <w:rPr/>
      </w:pPr>
      <w:r>
        <w:rPr/>
        <w:drawing>
          <wp:inline distT="0" distB="0" distL="0" distR="0">
            <wp:extent cx="4572000" cy="326707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4572000" cy="326707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Création et liaison de l'objet GPO sur l'OU promo</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Étape 2 — Configurer le mappage lecteur</w:t>
      </w:r>
    </w:p>
    <w:p>
      <w:pPr>
        <w:pStyle w:val="Normal"/>
        <w:spacing w:lineRule="auto" w:line="281" w:before="80" w:after="100"/>
        <w:jc w:val="both"/>
        <w:rPr/>
      </w:pPr>
      <w:r>
        <w:rPr>
          <w:rFonts w:eastAsia="Calibri" w:cs="Calibri"/>
          <w:b w:val="false"/>
          <w:bCs w:val="false"/>
          <w:i w:val="false"/>
          <w:iCs w:val="false"/>
          <w:color w:val="1F2937"/>
          <w:sz w:val="22"/>
          <w:szCs w:val="22"/>
        </w:rPr>
        <w:t>Clic droit sur la GPO → Modifier, puis naviguer :</w:t>
      </w:r>
    </w:p>
    <w:tbl>
      <w:tblPr>
        <w:tblW w:w="9026" w:type="dxa"/>
        <w:jc w:val="start"/>
        <w:tblInd w:w="0" w:type="dxa"/>
        <w:tblLayout w:type="fixed"/>
        <w:tblCellMar>
          <w:top w:w="100" w:type="dxa"/>
          <w:start w:w="200" w:type="dxa"/>
          <w:bottom w:w="100" w:type="dxa"/>
          <w:end w:w="200" w:type="dxa"/>
        </w:tblCellMar>
      </w:tblPr>
      <w:tblGrid>
        <w:gridCol w:w="9026"/>
      </w:tblGrid>
      <w:tr>
        <w:trPr/>
        <w:tc>
          <w:tcPr>
            <w:tcW w:w="9026" w:type="dxa"/>
            <w:tcBorders>
              <w:top w:val="single" w:sz="4" w:space="0" w:color="0078D4"/>
              <w:start w:val="single" w:sz="4" w:space="0" w:color="0078D4"/>
              <w:bottom w:val="single" w:sz="4" w:space="0" w:color="0078D4"/>
              <w:end w:val="single" w:sz="4" w:space="0" w:color="0078D4"/>
            </w:tcBorders>
            <w:shd w:fill="1E1E1E" w:val="clear"/>
          </w:tcPr>
          <w:p>
            <w:pPr>
              <w:pStyle w:val="Normal"/>
              <w:spacing w:lineRule="auto" w:line="240" w:before="0" w:after="0"/>
              <w:rPr/>
            </w:pPr>
            <w:r>
              <w:rPr>
                <w:rFonts w:eastAsia="Courier New" w:cs="Courier New" w:ascii="Courier New" w:hAnsi="Courier New"/>
                <w:color w:val="D4D4D4"/>
                <w:sz w:val="18"/>
                <w:szCs w:val="18"/>
              </w:rPr>
              <w:t>Configuration utilisateur → Préférences → Paramètres Windows → Mappage de lecteur</w:t>
            </w:r>
          </w:p>
        </w:tc>
      </w:tr>
    </w:tbl>
    <w:p>
      <w:pPr>
        <w:pStyle w:val="Normal"/>
        <w:spacing w:before="120" w:after="60"/>
        <w:jc w:val="center"/>
        <w:rPr/>
      </w:pPr>
      <w:r>
        <w:rPr/>
        <w:drawing>
          <wp:inline distT="0" distB="0" distL="0" distR="0">
            <wp:extent cx="4572000" cy="310515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4572000" cy="31051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Navigation dans l'éditeur de GPO — mappage de lecteur</w:t>
      </w:r>
    </w:p>
    <w:p>
      <w:pPr>
        <w:pStyle w:val="Normal"/>
        <w:spacing w:before="0" w:after="0"/>
        <w:rPr/>
      </w:pPr>
      <w:r>
        <w:rPr/>
      </w:r>
    </w:p>
    <w:p>
      <w:pPr>
        <w:pStyle w:val="Normal"/>
        <w:spacing w:lineRule="auto" w:line="281" w:before="80" w:after="100"/>
        <w:jc w:val="both"/>
        <w:rPr/>
      </w:pPr>
      <w:r>
        <w:rPr>
          <w:rFonts w:eastAsia="Calibri" w:cs="Calibri"/>
          <w:b w:val="false"/>
          <w:bCs w:val="false"/>
          <w:i w:val="false"/>
          <w:iCs w:val="false"/>
          <w:color w:val="1F2937"/>
          <w:sz w:val="22"/>
          <w:szCs w:val="22"/>
        </w:rPr>
        <w:t>Clic droit → Nouveau → Emplacement réseau mappé, saisir le chemin UNC du partage :</w:t>
      </w:r>
    </w:p>
    <w:p>
      <w:pPr>
        <w:pStyle w:val="Normal"/>
        <w:spacing w:before="120" w:after="60"/>
        <w:jc w:val="center"/>
        <w:rPr/>
      </w:pPr>
      <w:r>
        <w:rPr/>
        <w:drawing>
          <wp:inline distT="0" distB="0" distL="0" distR="0">
            <wp:extent cx="4572000" cy="30956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4572000" cy="309562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Paramétrage du lecteur réseau — chemin UNC du dossier partagé</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Étape 3 — Ciblage au niveau de l'élément</w:t>
      </w:r>
    </w:p>
    <w:p>
      <w:pPr>
        <w:pStyle w:val="Normal"/>
        <w:spacing w:lineRule="auto" w:line="281" w:before="80" w:after="100"/>
        <w:jc w:val="both"/>
        <w:rPr/>
      </w:pPr>
      <w:r>
        <w:rPr>
          <w:rFonts w:eastAsia="Calibri" w:cs="Calibri"/>
          <w:b w:val="false"/>
          <w:bCs w:val="false"/>
          <w:i w:val="false"/>
          <w:iCs w:val="false"/>
          <w:color w:val="1F2937"/>
          <w:sz w:val="22"/>
          <w:szCs w:val="22"/>
        </w:rPr>
        <w:t>Dans l'onglet Commun → Ciblage au niveau de l'élément → Nouvel élément → Groupe de sécurité, sélectionner le groupe correspondant au partage :</w:t>
      </w:r>
    </w:p>
    <w:p>
      <w:pPr>
        <w:pStyle w:val="Normal"/>
        <w:spacing w:before="120" w:after="60"/>
        <w:jc w:val="center"/>
        <w:rPr/>
      </w:pPr>
      <w:r>
        <w:rPr/>
        <w:drawing>
          <wp:inline distT="0" distB="0" distL="0" distR="0">
            <wp:extent cx="4572000" cy="318135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4572000" cy="31813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Ciblage du mappage lecteur sur un groupe de sécurité spécifique</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Étape 4 — Délégation</w:t>
      </w:r>
    </w:p>
    <w:p>
      <w:pPr>
        <w:pStyle w:val="Normal"/>
        <w:spacing w:lineRule="auto" w:line="281" w:before="80" w:after="100"/>
        <w:jc w:val="both"/>
        <w:rPr/>
      </w:pPr>
      <w:r>
        <w:rPr>
          <w:rFonts w:eastAsia="Calibri" w:cs="Calibri"/>
          <w:b w:val="false"/>
          <w:bCs w:val="false"/>
          <w:i w:val="false"/>
          <w:iCs w:val="false"/>
          <w:color w:val="1F2937"/>
          <w:sz w:val="22"/>
          <w:szCs w:val="22"/>
        </w:rPr>
        <w:t>Retourner sur la GPO → onglet Délégation → Avancé, ajouter le groupe Utilisateurs authentifiés :</w:t>
      </w:r>
    </w:p>
    <w:p>
      <w:pPr>
        <w:pStyle w:val="Normal"/>
        <w:spacing w:before="120" w:after="60"/>
        <w:jc w:val="center"/>
        <w:rPr/>
      </w:pPr>
      <w:r>
        <w:rPr/>
        <w:drawing>
          <wp:inline distT="0" distB="0" distL="0" distR="0">
            <wp:extent cx="4572000" cy="320992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4572000" cy="320992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Ajout des utilisateurs authentifiés dans la délégation de la GPO</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Commandes de vérification</w:t>
      </w:r>
    </w:p>
    <w:tbl>
      <w:tblPr>
        <w:tblW w:w="9026" w:type="dxa"/>
        <w:jc w:val="start"/>
        <w:tblInd w:w="0" w:type="dxa"/>
        <w:tblLayout w:type="fixed"/>
        <w:tblCellMar>
          <w:top w:w="100" w:type="dxa"/>
          <w:start w:w="200" w:type="dxa"/>
          <w:bottom w:w="100" w:type="dxa"/>
          <w:end w:w="200" w:type="dxa"/>
        </w:tblCellMar>
      </w:tblPr>
      <w:tblGrid>
        <w:gridCol w:w="9026"/>
      </w:tblGrid>
      <w:tr>
        <w:trPr/>
        <w:tc>
          <w:tcPr>
            <w:tcW w:w="9026" w:type="dxa"/>
            <w:tcBorders>
              <w:top w:val="single" w:sz="4" w:space="0" w:color="0078D4"/>
              <w:start w:val="single" w:sz="4" w:space="0" w:color="0078D4"/>
              <w:bottom w:val="single" w:sz="4" w:space="0" w:color="0078D4"/>
              <w:end w:val="single" w:sz="4" w:space="0" w:color="0078D4"/>
            </w:tcBorders>
            <w:shd w:fill="1E1E1E" w:val="clear"/>
          </w:tcPr>
          <w:p>
            <w:pPr>
              <w:pStyle w:val="Normal"/>
              <w:spacing w:lineRule="auto" w:line="240" w:before="0" w:after="0"/>
              <w:rPr/>
            </w:pPr>
            <w:r>
              <w:rPr>
                <w:rFonts w:eastAsia="Courier New" w:cs="Courier New" w:ascii="Courier New" w:hAnsi="Courier New"/>
                <w:color w:val="D4D4D4"/>
                <w:sz w:val="18"/>
                <w:szCs w:val="18"/>
              </w:rPr>
              <w:t># Forcer l'application immédiate des GPO sur le client :</w:t>
            </w:r>
          </w:p>
          <w:p>
            <w:pPr>
              <w:pStyle w:val="Normal"/>
              <w:spacing w:lineRule="auto" w:line="240" w:before="0" w:after="0"/>
              <w:rPr/>
            </w:pPr>
            <w:r>
              <w:rPr>
                <w:rFonts w:eastAsia="Courier New" w:cs="Courier New" w:ascii="Courier New" w:hAnsi="Courier New"/>
                <w:color w:val="D4D4D4"/>
                <w:sz w:val="18"/>
                <w:szCs w:val="18"/>
              </w:rPr>
              <w:t>gpupdate /force</w:t>
            </w:r>
          </w:p>
          <w:p>
            <w:pPr>
              <w:pStyle w:val="Normal"/>
              <w:spacing w:lineRule="auto" w:line="240" w:before="0" w:after="0"/>
              <w:rPr/>
            </w:pPr>
            <w:r>
              <w:rPr/>
            </w:r>
          </w:p>
          <w:p>
            <w:pPr>
              <w:pStyle w:val="Normal"/>
              <w:spacing w:lineRule="auto" w:line="240" w:before="0" w:after="0"/>
              <w:rPr/>
            </w:pPr>
            <w:r>
              <w:rPr>
                <w:rFonts w:eastAsia="Courier New" w:cs="Courier New" w:ascii="Courier New" w:hAnsi="Courier New"/>
                <w:color w:val="D4D4D4"/>
                <w:sz w:val="18"/>
                <w:szCs w:val="18"/>
              </w:rPr>
              <w:t># Vérifier les stratégies appliquées :</w:t>
            </w:r>
          </w:p>
          <w:p>
            <w:pPr>
              <w:pStyle w:val="Normal"/>
              <w:spacing w:lineRule="auto" w:line="240" w:before="0" w:after="0"/>
              <w:rPr/>
            </w:pPr>
            <w:r>
              <w:rPr>
                <w:rFonts w:eastAsia="Courier New" w:cs="Courier New" w:ascii="Courier New" w:hAnsi="Courier New"/>
                <w:color w:val="D4D4D4"/>
                <w:sz w:val="18"/>
                <w:szCs w:val="18"/>
              </w:rPr>
              <w:t>gpresult /r</w:t>
            </w:r>
          </w:p>
        </w:tc>
      </w:tr>
    </w:tbl>
    <w:p>
      <w:pPr>
        <w:pStyle w:val="Normal"/>
        <w:spacing w:before="0" w:after="0"/>
        <w:rPr/>
      </w:pPr>
      <w:r>
        <w:rPr/>
      </w:r>
    </w:p>
    <w:p>
      <w:pPr>
        <w:pStyle w:val="Normal"/>
        <w:spacing w:lineRule="auto" w:line="281" w:before="80" w:after="100"/>
        <w:jc w:val="both"/>
        <w:rPr/>
      </w:pPr>
      <w:r>
        <w:rPr>
          <w:rFonts w:eastAsia="Calibri" w:cs="Calibri"/>
          <w:b w:val="false"/>
          <w:bCs w:val="false"/>
          <w:i w:val="false"/>
          <w:iCs w:val="false"/>
          <w:color w:val="1F2937"/>
          <w:sz w:val="22"/>
          <w:szCs w:val="22"/>
        </w:rPr>
        <w:t>Test de validation depuis un poste client du domaine :</w:t>
      </w:r>
    </w:p>
    <w:p>
      <w:pPr>
        <w:pStyle w:val="Normal"/>
        <w:spacing w:before="120" w:after="60"/>
        <w:jc w:val="center"/>
        <w:rPr/>
      </w:pPr>
      <w:r>
        <w:rPr/>
        <w:drawing>
          <wp:inline distT="0" distB="0" distL="0" distR="0">
            <wp:extent cx="4572000" cy="340995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4572000" cy="34099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Vérification du mappage lecteur réseau sur un poste client</w:t>
      </w:r>
    </w:p>
    <w:p>
      <w:pPr>
        <w:pStyle w:val="Normal"/>
        <w:rPr/>
      </w:pPr>
      <w:r>
        <w:rPr/>
      </w:r>
      <w:r>
        <w:br w:type="page"/>
      </w:r>
    </w:p>
    <w:p>
      <w:pPr>
        <w:pStyle w:val="Heading1"/>
        <w:pBdr>
          <w:bottom w:val="single" w:sz="8" w:space="4" w:color="0078D4"/>
        </w:pBdr>
        <w:spacing w:before="0" w:after="140"/>
        <w:rPr/>
      </w:pPr>
      <w:r>
        <w:rPr>
          <w:rFonts w:eastAsia="Calibri" w:cs="Calibri" w:ascii="Calibri" w:hAnsi="Calibri"/>
          <w:b/>
          <w:bCs/>
          <w:color w:val="1A3A5C"/>
          <w:sz w:val="34"/>
          <w:szCs w:val="34"/>
        </w:rPr>
        <w:t>8. GPO — Redirection de dossiers</w:t>
      </w:r>
    </w:p>
    <w:p>
      <w:pPr>
        <w:pStyle w:val="Normal"/>
        <w:spacing w:lineRule="auto" w:line="281" w:before="80" w:after="100"/>
        <w:jc w:val="both"/>
        <w:rPr/>
      </w:pPr>
      <w:r>
        <w:rPr>
          <w:rFonts w:eastAsia="Calibri" w:cs="Calibri"/>
          <w:b w:val="false"/>
          <w:bCs w:val="false"/>
          <w:i w:val="false"/>
          <w:iCs w:val="false"/>
          <w:color w:val="1F2937"/>
          <w:sz w:val="22"/>
          <w:szCs w:val="22"/>
        </w:rPr>
        <w:t>La redirection de dossiers permet de stocker les dossiers utilisateur (Documents, Bureau, Téléchargements) sur le serveur de fichiers, de manière transparente pour l'utilisateur.</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Préparation du dossier de redirection</w:t>
      </w:r>
    </w:p>
    <w:p>
      <w:pPr>
        <w:pStyle w:val="Normal"/>
        <w:spacing w:lineRule="auto" w:line="281" w:before="80" w:after="100"/>
        <w:jc w:val="both"/>
        <w:rPr/>
      </w:pPr>
      <w:r>
        <w:rPr>
          <w:rFonts w:eastAsia="Calibri" w:cs="Calibri"/>
          <w:b w:val="false"/>
          <w:bCs w:val="false"/>
          <w:i w:val="false"/>
          <w:iCs w:val="false"/>
          <w:color w:val="1F2937"/>
          <w:sz w:val="22"/>
          <w:szCs w:val="22"/>
        </w:rPr>
        <w:t>Sur le serveur de fichiers, créer un dossier Redirection et le partager avec les mêmes droits que les dossiers privés (sécurités NTFS en lecture/écriture pour le groupe ETUDIANTS).</w:t>
      </w:r>
    </w:p>
    <w:p>
      <w:pPr>
        <w:pStyle w:val="Normal"/>
        <w:spacing w:before="0" w:after="0"/>
        <w:rPr/>
      </w:pPr>
      <w:r>
        <w:rPr/>
      </w:r>
    </w:p>
    <w:p>
      <w:pPr>
        <w:pStyle w:val="Heading3"/>
        <w:spacing w:before="180" w:after="60"/>
        <w:rPr/>
      </w:pPr>
      <w:r>
        <w:rPr>
          <w:rFonts w:eastAsia="Calibri" w:cs="Calibri" w:ascii="Calibri" w:hAnsi="Calibri"/>
          <w:b/>
          <w:bCs/>
          <w:color w:val="0078D4"/>
          <w:sz w:val="22"/>
          <w:szCs w:val="22"/>
        </w:rPr>
        <w:t>Configuration de la GPO</w:t>
      </w:r>
    </w:p>
    <w:p>
      <w:pPr>
        <w:pStyle w:val="Normal"/>
        <w:spacing w:lineRule="auto" w:line="281" w:before="80" w:after="100"/>
        <w:jc w:val="both"/>
        <w:rPr/>
      </w:pPr>
      <w:r>
        <w:rPr>
          <w:rFonts w:eastAsia="Calibri" w:cs="Calibri"/>
          <w:b w:val="false"/>
          <w:bCs w:val="false"/>
          <w:i w:val="false"/>
          <w:iCs w:val="false"/>
          <w:color w:val="1F2937"/>
          <w:sz w:val="22"/>
          <w:szCs w:val="22"/>
        </w:rPr>
        <w:t>Dans la gestion de stratégie de groupe, créer une GPO depuis la racine du domaine et la lier. Modifier la GPO et naviguer vers :</w:t>
      </w:r>
    </w:p>
    <w:tbl>
      <w:tblPr>
        <w:tblW w:w="9026" w:type="dxa"/>
        <w:jc w:val="start"/>
        <w:tblInd w:w="0" w:type="dxa"/>
        <w:tblLayout w:type="fixed"/>
        <w:tblCellMar>
          <w:top w:w="100" w:type="dxa"/>
          <w:start w:w="200" w:type="dxa"/>
          <w:bottom w:w="100" w:type="dxa"/>
          <w:end w:w="200" w:type="dxa"/>
        </w:tblCellMar>
      </w:tblPr>
      <w:tblGrid>
        <w:gridCol w:w="9026"/>
      </w:tblGrid>
      <w:tr>
        <w:trPr/>
        <w:tc>
          <w:tcPr>
            <w:tcW w:w="9026" w:type="dxa"/>
            <w:tcBorders>
              <w:top w:val="single" w:sz="4" w:space="0" w:color="0078D4"/>
              <w:start w:val="single" w:sz="4" w:space="0" w:color="0078D4"/>
              <w:bottom w:val="single" w:sz="4" w:space="0" w:color="0078D4"/>
              <w:end w:val="single" w:sz="4" w:space="0" w:color="0078D4"/>
            </w:tcBorders>
            <w:shd w:fill="1E1E1E" w:val="clear"/>
          </w:tcPr>
          <w:p>
            <w:pPr>
              <w:pStyle w:val="Normal"/>
              <w:spacing w:lineRule="auto" w:line="240" w:before="0" w:after="0"/>
              <w:rPr/>
            </w:pPr>
            <w:r>
              <w:rPr>
                <w:rFonts w:eastAsia="Courier New" w:cs="Courier New" w:ascii="Courier New" w:hAnsi="Courier New"/>
                <w:color w:val="D4D4D4"/>
                <w:sz w:val="18"/>
                <w:szCs w:val="18"/>
              </w:rPr>
              <w:t>Configuration utilisateur → Stratégies → Paramètres Windows → Redirection de dossiers</w:t>
            </w:r>
          </w:p>
        </w:tc>
      </w:tr>
    </w:tbl>
    <w:p>
      <w:pPr>
        <w:pStyle w:val="Normal"/>
        <w:spacing w:before="120" w:after="60"/>
        <w:jc w:val="center"/>
        <w:rPr/>
      </w:pPr>
      <w:r>
        <w:rPr/>
        <w:drawing>
          <wp:inline distT="0" distB="0" distL="0" distR="0">
            <wp:extent cx="4572000" cy="325755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4572000" cy="3257550"/>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Nœud Redirection de dossiers dans l'éditeur de GPO</w:t>
      </w:r>
    </w:p>
    <w:p>
      <w:pPr>
        <w:pStyle w:val="Normal"/>
        <w:spacing w:before="0" w:after="0"/>
        <w:rPr/>
      </w:pPr>
      <w:r>
        <w:rPr/>
      </w:r>
    </w:p>
    <w:p>
      <w:pPr>
        <w:pStyle w:val="Normal"/>
        <w:spacing w:lineRule="auto" w:line="281" w:before="80" w:after="100"/>
        <w:jc w:val="both"/>
        <w:rPr/>
      </w:pPr>
      <w:r>
        <w:rPr>
          <w:rFonts w:eastAsia="Calibri" w:cs="Calibri"/>
          <w:b w:val="false"/>
          <w:bCs w:val="false"/>
          <w:i w:val="false"/>
          <w:iCs w:val="false"/>
          <w:color w:val="1F2937"/>
          <w:sz w:val="22"/>
          <w:szCs w:val="22"/>
        </w:rPr>
        <w:t>Pour chaque dossier à rediriger (Documents, Bureau, Téléchargements) : clic droit → Propriétés, saisir le chemin UNC du dossier de redirection :</w:t>
      </w:r>
    </w:p>
    <w:p>
      <w:pPr>
        <w:pStyle w:val="Normal"/>
        <w:spacing w:before="120" w:after="60"/>
        <w:jc w:val="center"/>
        <w:rPr/>
      </w:pPr>
      <w:r>
        <w:rPr/>
        <w:drawing>
          <wp:inline distT="0" distB="0" distL="0" distR="0">
            <wp:extent cx="4572000" cy="408622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4572000" cy="4086225"/>
                    </a:xfrm>
                    <a:prstGeom prst="rect">
                      <a:avLst/>
                    </a:prstGeom>
                    <a:noFill/>
                  </pic:spPr>
                </pic:pic>
              </a:graphicData>
            </a:graphic>
          </wp:inline>
        </w:drawing>
      </w:r>
    </w:p>
    <w:p>
      <w:pPr>
        <w:pStyle w:val="Normal"/>
        <w:spacing w:before="0" w:after="160"/>
        <w:jc w:val="center"/>
        <w:rPr/>
      </w:pPr>
      <w:r>
        <w:rPr>
          <w:rFonts w:eastAsia="Calibri" w:cs="Calibri"/>
          <w:i/>
          <w:iCs/>
          <w:color w:val="6B7280"/>
          <w:sz w:val="18"/>
          <w:szCs w:val="18"/>
        </w:rPr>
        <w:t>Configuration de la redirection du dossier Documents</w:t>
      </w:r>
    </w:p>
    <w:p>
      <w:pPr>
        <w:pStyle w:val="Normal"/>
        <w:spacing w:before="0" w:after="0"/>
        <w:rPr/>
      </w:pPr>
      <w:r>
        <w:rPr/>
      </w:r>
    </w:p>
    <w:tbl>
      <w:tblPr>
        <w:tblW w:w="9026" w:type="dxa"/>
        <w:jc w:val="start"/>
        <w:tblInd w:w="0" w:type="dxa"/>
        <w:tblLayout w:type="fixed"/>
        <w:tblCellMar>
          <w:top w:w="80" w:type="dxa"/>
          <w:start w:w="160" w:type="dxa"/>
          <w:bottom w:w="80" w:type="dxa"/>
          <w:end w:w="160" w:type="dxa"/>
        </w:tblCellMar>
      </w:tblPr>
      <w:tblGrid>
        <w:gridCol w:w="9026"/>
      </w:tblGrid>
      <w:tr>
        <w:trPr/>
        <w:tc>
          <w:tcPr>
            <w:tcW w:w="9026" w:type="dxa"/>
            <w:tcBorders>
              <w:top w:val="single" w:sz="6" w:space="0" w:color="0078D4"/>
              <w:start w:val="single" w:sz="6" w:space="0" w:color="0078D4"/>
              <w:bottom w:val="single" w:sz="6" w:space="0" w:color="0078D4"/>
              <w:end w:val="single" w:sz="6" w:space="0" w:color="0078D4"/>
            </w:tcBorders>
            <w:shd w:fill="E8F4FD" w:val="clear"/>
          </w:tcPr>
          <w:p>
            <w:pPr>
              <w:pStyle w:val="Normal"/>
              <w:spacing w:before="0" w:after="0"/>
              <w:rPr>
                <w:rFonts w:ascii="Calibri" w:hAnsi="Calibri" w:eastAsia="Calibri" w:cs="Calibri"/>
                <w:color w:val="1F2937"/>
                <w:sz w:val="20"/>
                <w:szCs w:val="20"/>
              </w:rPr>
            </w:pPr>
            <w:r>
              <w:rPr>
                <w:rFonts w:eastAsia="Calibri" w:cs="Calibri"/>
                <w:sz w:val="20"/>
                <w:szCs w:val="20"/>
              </w:rPr>
              <w:t xml:space="preserve">ℹ️  </w:t>
            </w:r>
            <w:r>
              <w:rPr>
                <w:rFonts w:eastAsia="Calibri" w:cs="Calibri"/>
                <w:color w:val="1F2937"/>
                <w:sz w:val="20"/>
                <w:szCs w:val="20"/>
              </w:rPr>
              <w:t>La redirection a été appliquée pour Documents, Bureau et Téléchargements. Utiliser gpupdate /force sur le poste client pour forcer l'application immédiate.</w:t>
            </w:r>
          </w:p>
        </w:tc>
      </w:tr>
    </w:tbl>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0D7DE"/>
      </w:pBdr>
      <w:tabs>
        <w:tab w:val="clear" w:pos="720"/>
        <w:tab w:val="right" w:pos="9026" w:leader="none"/>
      </w:tabs>
      <w:spacing w:before="80" w:after="0"/>
      <w:rPr/>
    </w:pPr>
    <w:r>
      <w:rPr>
        <w:rFonts w:eastAsia="Calibri" w:cs="Calibri"/>
        <w:color w:val="6B7280"/>
        <w:sz w:val="16"/>
        <w:szCs w:val="16"/>
      </w:rPr>
      <w:t>© 2026 DESJARDINS Julien — Usage interne BTS SIO · IUTO109.com</w:t>
      <w:tab/>
      <w:t>Windows Server 2022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0D7DE"/>
      </w:pBdr>
      <w:tabs>
        <w:tab w:val="clear" w:pos="720"/>
        <w:tab w:val="right" w:pos="9026" w:leader="none"/>
      </w:tabs>
      <w:spacing w:before="80" w:after="0"/>
      <w:rPr/>
    </w:pPr>
    <w:r>
      <w:rPr>
        <w:rFonts w:eastAsia="Calibri" w:cs="Calibri"/>
        <w:color w:val="6B7280"/>
        <w:sz w:val="16"/>
        <w:szCs w:val="16"/>
      </w:rPr>
      <w:t>© 2026 DESJARDINS Julien — Usage interne BTS SIO · IUTO109.com</w:t>
      <w:tab/>
      <w:t>Windows Server 2022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78D4"/>
      </w:pBdr>
      <w:tabs>
        <w:tab w:val="clear" w:pos="720"/>
        <w:tab w:val="right" w:pos="9026" w:leader="none"/>
      </w:tabs>
      <w:spacing w:before="0" w:after="80"/>
      <w:rPr/>
    </w:pPr>
    <w:r>
      <w:rPr>
        <w:rFonts w:eastAsia="Calibri" w:cs="Calibri"/>
        <w:color w:val="6B7280"/>
        <w:sz w:val="18"/>
        <w:szCs w:val="18"/>
      </w:rPr>
      <w:t>Documentation Technique — Active Directory DS</w:t>
      <w:tab/>
      <w:t>DESJARDINS Julien · BTS SIO SISR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0078D4"/>
      </w:pBdr>
      <w:tabs>
        <w:tab w:val="clear" w:pos="720"/>
        <w:tab w:val="right" w:pos="9026" w:leader="none"/>
      </w:tabs>
      <w:spacing w:before="0" w:after="80"/>
      <w:rPr/>
    </w:pPr>
    <w:r>
      <w:rPr>
        <w:rFonts w:eastAsia="Calibri" w:cs="Calibri"/>
        <w:color w:val="6B7280"/>
        <w:sz w:val="18"/>
        <w:szCs w:val="18"/>
      </w:rPr>
      <w:t>Documentation Technique — Active Directory DS</w:t>
      <w:tab/>
      <w:t>DESJARDINS Julien · BTS SIO SISR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937"/>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F2937"/>
      <w:kern w:val="0"/>
      <w:sz w:val="22"/>
      <w:szCs w:val="22"/>
      <w:lang w:val="fr-FR" w:eastAsia="zh-CN" w:bidi="hi-IN"/>
    </w:rPr>
  </w:style>
  <w:style w:type="paragraph" w:styleId="Heading1">
    <w:name w:val="heading 1"/>
    <w:basedOn w:val="Titre"/>
    <w:qFormat/>
    <w:pPr>
      <w:spacing w:before="320" w:after="140"/>
      <w:outlineLvl w:val="0"/>
    </w:pPr>
    <w:rPr>
      <w:rFonts w:ascii="Calibri" w:hAnsi="Calibri" w:eastAsia="Calibri" w:cs="Calibri"/>
      <w:b/>
      <w:bCs/>
      <w:color w:val="1A3A5C"/>
      <w:sz w:val="34"/>
      <w:szCs w:val="34"/>
    </w:rPr>
  </w:style>
  <w:style w:type="paragraph" w:styleId="Heading2">
    <w:name w:val="heading 2"/>
    <w:basedOn w:val="Titre"/>
    <w:qFormat/>
    <w:pPr>
      <w:spacing w:before="240" w:after="100"/>
      <w:outlineLvl w:val="1"/>
    </w:pPr>
    <w:rPr>
      <w:rFonts w:ascii="Calibri" w:hAnsi="Calibri" w:eastAsia="Calibri" w:cs="Calibri"/>
      <w:b/>
      <w:bCs/>
      <w:color w:val="1A3A5C"/>
      <w:sz w:val="26"/>
      <w:szCs w:val="26"/>
    </w:rPr>
  </w:style>
  <w:style w:type="paragraph" w:styleId="Heading3">
    <w:name w:val="heading 3"/>
    <w:basedOn w:val="Titre"/>
    <w:qFormat/>
    <w:pPr>
      <w:spacing w:before="180" w:after="60"/>
      <w:outlineLvl w:val="2"/>
    </w:pPr>
    <w:rPr>
      <w:rFonts w:ascii="Calibri" w:hAnsi="Calibri" w:eastAsia="Calibri" w:cs="Calibri"/>
      <w:b/>
      <w:bCs/>
      <w:color w:val="0078D4"/>
      <w:sz w:val="22"/>
      <w:szCs w:val="22"/>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F2937"/>
      <w:kern w:val="0"/>
      <w:sz w:val="22"/>
      <w:szCs w:val="22"/>
      <w:lang w:val="fr-FR" w:eastAsia="zh-CN" w:bidi="hi-IN"/>
    </w:rPr>
  </w:style>
  <w:style w:type="paragraph" w:styleId="ListParagraph">
    <w:name w:val="List Paragraph"/>
    <w:qFormat/>
    <w:pPr>
      <w:widowControl/>
      <w:bidi w:val="0"/>
      <w:spacing w:before="0" w:after="0"/>
      <w:jc w:val="start"/>
    </w:pPr>
    <w:rPr>
      <w:rFonts w:ascii="Calibri" w:hAnsi="Calibri" w:eastAsia="Calibri" w:cs="Calibri"/>
      <w:color w:val="1F2937"/>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23</Pages>
  <Words>1760</Words>
  <Characters>9761</Characters>
  <CharactersWithSpaces>11397</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2026-06-09T05:26:59Z</dcterms:created>
  <dc:creator>Un-named</dc:creator>
  <dc:description/>
  <dc:language>fr-FR</dc:language>
  <cp:lastModifiedBy/>
  <dcterms:modified xsi:type="dcterms:W3CDTF">2026-06-09T07:27:41Z</dcterms:modified>
  <cp:revision>2</cp:revision>
  <dc:subject/>
  <dc:title/>
</cp:coreProperties>
</file>