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Кочина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подпрограмм.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А также ознакомиться с методами отладки при помощи GDB и его основными возможностями.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Отладка</w:t>
      </w:r>
      <w:r>
        <w:t xml:space="preserve"> </w:t>
      </w:r>
      <w:r>
        <w:t xml:space="preserve">— это процесс поиска и исправления ошибок в программе. В общем случае его можно разделить на четыре этапа:</w:t>
      </w:r>
    </w:p>
    <w:p>
      <w:pPr>
        <w:numPr>
          <w:ilvl w:val="0"/>
          <w:numId w:val="1001"/>
        </w:numPr>
      </w:pPr>
      <w:r>
        <w:t xml:space="preserve">обнаружение ошибки;</w:t>
      </w:r>
    </w:p>
    <w:p>
      <w:pPr>
        <w:numPr>
          <w:ilvl w:val="0"/>
          <w:numId w:val="1001"/>
        </w:numPr>
      </w:pPr>
      <w:r>
        <w:t xml:space="preserve">поиск её местонахождения;</w:t>
      </w:r>
    </w:p>
    <w:p>
      <w:pPr>
        <w:numPr>
          <w:ilvl w:val="0"/>
          <w:numId w:val="1001"/>
        </w:numPr>
      </w:pPr>
      <w:r>
        <w:t xml:space="preserve">определение причины ошибки;</w:t>
      </w:r>
    </w:p>
    <w:p>
      <w:pPr>
        <w:numPr>
          <w:ilvl w:val="0"/>
          <w:numId w:val="1001"/>
        </w:numPr>
      </w:pPr>
      <w:r>
        <w:t xml:space="preserve">исправление ошибки.</w:t>
      </w:r>
    </w:p>
    <w:p>
      <w:pPr>
        <w:pStyle w:val="FirstParagraph"/>
      </w:pPr>
      <w:r>
        <w:t xml:space="preserve">Можно выделить следующие типы ошибок:</w:t>
      </w:r>
    </w:p>
    <w:p>
      <w:pPr>
        <w:pStyle w:val="BodyText"/>
      </w:pPr>
      <w:r>
        <w:rPr>
          <w:iCs/>
          <w:i/>
        </w:rPr>
        <w:t xml:space="preserve">синтаксические ошибки</w:t>
      </w:r>
      <w:r>
        <w:t xml:space="preserve"> </w:t>
      </w:r>
      <w:r>
        <w:t xml:space="preserve">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rPr>
          <w:iCs/>
          <w:i/>
        </w:rPr>
        <w:t xml:space="preserve">семантические ошибки</w:t>
      </w:r>
      <w:r>
        <w:t xml:space="preserve"> </w:t>
      </w:r>
      <w:r>
        <w:t xml:space="preserve">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rPr>
          <w:iCs/>
          <w:i/>
        </w:rPr>
        <w:t xml:space="preserve">ошибки в процессе выполнения</w:t>
      </w:r>
      <w:r>
        <w:t xml:space="preserve"> </w:t>
      </w:r>
      <w:r>
        <w:t xml:space="preserve">— не обнаруживаются при трансляции и вызывают прерывание выполнения программы.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numPr>
          <w:ilvl w:val="0"/>
          <w:numId w:val="1002"/>
        </w:numPr>
      </w:pPr>
      <w:r>
        <w:t xml:space="preserve">Создание точек контроля значений на входе и выходе участка программы;</w:t>
      </w:r>
    </w:p>
    <w:p>
      <w:pPr>
        <w:numPr>
          <w:ilvl w:val="0"/>
          <w:numId w:val="1002"/>
        </w:numPr>
      </w:pPr>
      <w:r>
        <w:t xml:space="preserve">Использование специальных программ-отладчиков.</w:t>
      </w:r>
    </w:p>
    <w:p>
      <w:pPr>
        <w:pStyle w:val="FirstParagraph"/>
      </w:pPr>
      <w:r>
        <w:rPr>
          <w:bCs/>
          <w:b/>
        </w:rPr>
        <w:t xml:space="preserve">Пошаговое выполнение</w:t>
      </w:r>
      <w:r>
        <w:t xml:space="preserve"> </w:t>
      </w:r>
      <w:r>
        <w:t xml:space="preserve">— это выполнение программы с остановкой после каждой строчки, 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rPr>
          <w:bCs/>
          <w:b/>
        </w:rPr>
        <w:t xml:space="preserve">Точки останова</w:t>
      </w:r>
      <w:r>
        <w:t xml:space="preserve"> </w:t>
      </w:r>
      <w:r>
        <w:t xml:space="preserve">— это специально отмеченные места в программе, в которых программа-отладчик приостанавливает выполнение программы и ждёт команд.</w:t>
      </w:r>
    </w:p>
    <w:p>
      <w:pPr>
        <w:pStyle w:val="BodyText"/>
      </w:pPr>
      <w:r>
        <w:t xml:space="preserve">Наиболее популярные виды точек останова:</w:t>
      </w:r>
    </w:p>
    <w:p>
      <w:pPr>
        <w:numPr>
          <w:ilvl w:val="0"/>
          <w:numId w:val="1003"/>
        </w:numPr>
      </w:pPr>
      <w:r>
        <w:t xml:space="preserve">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numPr>
          <w:ilvl w:val="0"/>
          <w:numId w:val="1003"/>
        </w:numPr>
      </w:pPr>
      <w:r>
        <w:t xml:space="preserve">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FirstParagraph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</w:t>
      </w:r>
    </w:p>
    <w:p>
      <w:pPr>
        <w:pStyle w:val="BodyText"/>
      </w:pPr>
      <w:r>
        <w:t xml:space="preserve">GDB может выполнять следующие действия:</w:t>
      </w:r>
    </w:p>
    <w:p>
      <w:pPr>
        <w:numPr>
          <w:ilvl w:val="0"/>
          <w:numId w:val="1004"/>
        </w:numPr>
      </w:pPr>
      <w:r>
        <w:t xml:space="preserve">Начать выполнение программы, задав всё, что может повлиять на её поведение;</w:t>
      </w:r>
    </w:p>
    <w:p>
      <w:pPr>
        <w:numPr>
          <w:ilvl w:val="0"/>
          <w:numId w:val="1004"/>
        </w:numPr>
      </w:pPr>
      <w:r>
        <w:t xml:space="preserve">Остановить программу при указанных условиях;</w:t>
      </w:r>
    </w:p>
    <w:p>
      <w:pPr>
        <w:numPr>
          <w:ilvl w:val="0"/>
          <w:numId w:val="1004"/>
        </w:numPr>
      </w:pPr>
      <w:r>
        <w:t xml:space="preserve">Исследовать, что случилось, когда программа остановилась;</w:t>
      </w:r>
    </w:p>
    <w:p>
      <w:pPr>
        <w:numPr>
          <w:ilvl w:val="0"/>
          <w:numId w:val="1004"/>
        </w:numPr>
      </w:pPr>
      <w:r>
        <w:t xml:space="preserve">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FirstParagraph"/>
      </w:pPr>
      <w:r>
        <w:rPr>
          <w:bCs/>
          <w:b/>
        </w:rPr>
        <w:t xml:space="preserve">Подпрограмма</w:t>
      </w:r>
      <w:r>
        <w:t xml:space="preserve"> </w:t>
      </w:r>
      <w:r>
        <w:t xml:space="preserve">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</w:t>
      </w:r>
    </w:p>
    <w:bookmarkEnd w:id="22"/>
    <w:bookmarkStart w:id="1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Я создала каталог для выполнения лабораторной работы №10, перешла в него и создала файл lab10-1.asm. (рис. 1)</w:t>
      </w:r>
    </w:p>
    <w:p>
      <w:pPr>
        <w:pStyle w:val="CaptionedFigure"/>
      </w:pPr>
      <w:bookmarkStart w:id="26" w:name="fig:001"/>
      <w:r>
        <w:drawing>
          <wp:inline>
            <wp:extent cx="5334000" cy="835314"/>
            <wp:effectExtent b="0" l="0" r="0" t="0"/>
            <wp:docPr descr="Рис. 1: Создание файла lab10-1.asm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файла lab10-1.asm</w:t>
      </w:r>
    </w:p>
    <w:p>
      <w:pPr>
        <w:numPr>
          <w:ilvl w:val="0"/>
          <w:numId w:val="1006"/>
        </w:numPr>
        <w:pStyle w:val="Compact"/>
      </w:pPr>
      <w:r>
        <w:t xml:space="preserve">Я ввела в файл lab10-1.asm текст программы из листинга (пример программы с использованием вызова подпрограммы), создала исполняемый файл и проверила его работу. (рис. 2, 3)</w:t>
      </w:r>
    </w:p>
    <w:p>
      <w:pPr>
        <w:pStyle w:val="CaptionedFigure"/>
      </w:pPr>
      <w:bookmarkStart w:id="30" w:name="fig:002"/>
      <w:r>
        <w:drawing>
          <wp:inline>
            <wp:extent cx="3073400" cy="8813800"/>
            <wp:effectExtent b="0" l="0" r="0" t="0"/>
            <wp:docPr descr="Рис. 2: Текст программы из листинга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881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Текст программы из листинга</w:t>
      </w:r>
    </w:p>
    <w:p>
      <w:pPr>
        <w:pStyle w:val="CaptionedFigure"/>
      </w:pPr>
      <w:bookmarkStart w:id="34" w:name="fig:003"/>
      <w:r>
        <w:drawing>
          <wp:inline>
            <wp:extent cx="5334000" cy="1035232"/>
            <wp:effectExtent b="0" l="0" r="0" t="0"/>
            <wp:docPr descr="Рис. 3: Результат работы программы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Результат работы программы</w:t>
      </w:r>
    </w:p>
    <w:p>
      <w:pPr>
        <w:numPr>
          <w:ilvl w:val="0"/>
          <w:numId w:val="1007"/>
        </w:numPr>
        <w:pStyle w:val="Compact"/>
      </w:pPr>
      <w:r>
        <w:t xml:space="preserve">Я изменила текст программы, добавив подпрограмму _subcalcul в подпрограмму _calcul, для вычисления выражения f(g(x)), где x вводится с клавиатуры, f(x) = 2x+7, g(x) = 3x − 1. Т.е. x передается в подпрограмму _calcul из неё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 (рис. 4, 5)</w:t>
      </w:r>
    </w:p>
    <w:p>
      <w:pPr>
        <w:pStyle w:val="CaptionedFigure"/>
      </w:pPr>
      <w:bookmarkStart w:id="38" w:name="fig:004"/>
      <w:r>
        <w:drawing>
          <wp:inline>
            <wp:extent cx="3302000" cy="10337800"/>
            <wp:effectExtent b="0" l="0" r="0" t="0"/>
            <wp:docPr descr="Рис. 4: Изменённый текст программы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033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Изменённый текст программы</w:t>
      </w:r>
    </w:p>
    <w:p>
      <w:pPr>
        <w:pStyle w:val="CaptionedFigure"/>
      </w:pPr>
      <w:bookmarkStart w:id="42" w:name="fig:005"/>
      <w:r>
        <w:drawing>
          <wp:inline>
            <wp:extent cx="2387600" cy="7340600"/>
            <wp:effectExtent b="0" l="0" r="0" t="0"/>
            <wp:docPr descr="Рис. 5: Изменённый текст программы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734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Изменённый текст программы</w:t>
      </w:r>
    </w:p>
    <w:p>
      <w:pPr>
        <w:numPr>
          <w:ilvl w:val="0"/>
          <w:numId w:val="1008"/>
        </w:numPr>
        <w:pStyle w:val="Compact"/>
      </w:pPr>
      <w:r>
        <w:t xml:space="preserve">Я создала исполняемый файл и проверила его работу. (рис. 6)</w:t>
      </w:r>
    </w:p>
    <w:p>
      <w:pPr>
        <w:pStyle w:val="CaptionedFigure"/>
      </w:pPr>
      <w:bookmarkStart w:id="46" w:name="fig:006"/>
      <w:r>
        <w:drawing>
          <wp:inline>
            <wp:extent cx="5334000" cy="1511377"/>
            <wp:effectExtent b="0" l="0" r="0" t="0"/>
            <wp:docPr descr="Рис. 6: Результат работы программы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работы программы</w:t>
      </w:r>
    </w:p>
    <w:p>
      <w:pPr>
        <w:numPr>
          <w:ilvl w:val="0"/>
          <w:numId w:val="1009"/>
        </w:numPr>
        <w:pStyle w:val="Compact"/>
      </w:pPr>
      <w:r>
        <w:t xml:space="preserve">Я создала файл lab10-2.asm с текстом программы из листинга (Программа печати сообщения Hello world!). (рис. 7, 8)</w:t>
      </w:r>
    </w:p>
    <w:p>
      <w:pPr>
        <w:pStyle w:val="CaptionedFigure"/>
      </w:pPr>
      <w:bookmarkStart w:id="50" w:name="fig:007"/>
      <w:r>
        <w:drawing>
          <wp:inline>
            <wp:extent cx="5334000" cy="570716"/>
            <wp:effectExtent b="0" l="0" r="0" t="0"/>
            <wp:docPr descr="Рис. 7: Создание файла lab10-2.asm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файла lab10-2.asm</w:t>
      </w:r>
    </w:p>
    <w:p>
      <w:pPr>
        <w:pStyle w:val="CaptionedFigure"/>
      </w:pPr>
      <w:bookmarkStart w:id="54" w:name="fig:008"/>
      <w:r>
        <w:drawing>
          <wp:inline>
            <wp:extent cx="2908300" cy="6362700"/>
            <wp:effectExtent b="0" l="0" r="0" t="0"/>
            <wp:docPr descr="Рис. 8: Текст программы из листинга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Текст программы из листинга</w:t>
      </w:r>
    </w:p>
    <w:p>
      <w:pPr>
        <w:numPr>
          <w:ilvl w:val="0"/>
          <w:numId w:val="1010"/>
        </w:numPr>
        <w:pStyle w:val="Compact"/>
      </w:pPr>
      <w:r>
        <w:t xml:space="preserve">Я получила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Я загрузила исполняемый файл в отладчик gdb. (рис. 9)</w:t>
      </w:r>
    </w:p>
    <w:p>
      <w:pPr>
        <w:pStyle w:val="CaptionedFigure"/>
      </w:pPr>
      <w:bookmarkStart w:id="58" w:name="fig:009"/>
      <w:r>
        <w:drawing>
          <wp:inline>
            <wp:extent cx="5334000" cy="306803"/>
            <wp:effectExtent b="0" l="0" r="0" t="0"/>
            <wp:docPr descr="Рис. 9: Загрузка исполняемого файла в отладчик gdb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Загрузка исполняемого файла в отладчик gdb</w:t>
      </w:r>
    </w:p>
    <w:p>
      <w:pPr>
        <w:numPr>
          <w:ilvl w:val="0"/>
          <w:numId w:val="1011"/>
        </w:numPr>
        <w:pStyle w:val="Compact"/>
      </w:pPr>
      <w:r>
        <w:t xml:space="preserve">Я проверила работу программы, запустив ее в оболочке GDB с помощью команды run (сокращённо r). (рис. 10)</w:t>
      </w:r>
    </w:p>
    <w:p>
      <w:pPr>
        <w:pStyle w:val="CaptionedFigure"/>
      </w:pPr>
      <w:bookmarkStart w:id="62" w:name="fig:010"/>
      <w:r>
        <w:drawing>
          <wp:inline>
            <wp:extent cx="5334000" cy="2447563"/>
            <wp:effectExtent b="0" l="0" r="0" t="0"/>
            <wp:docPr descr="Рис. 10: Команда run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Команда run</w:t>
      </w:r>
    </w:p>
    <w:p>
      <w:pPr>
        <w:numPr>
          <w:ilvl w:val="0"/>
          <w:numId w:val="1012"/>
        </w:numPr>
        <w:pStyle w:val="Compact"/>
      </w:pPr>
      <w:r>
        <w:t xml:space="preserve">Для более подробного анализа программы я установила брейкпоинт на метку _start, с которой начинается выполнение любой ассемблерной программы, и запустила её. (рис. 11)</w:t>
      </w:r>
    </w:p>
    <w:p>
      <w:pPr>
        <w:pStyle w:val="CaptionedFigure"/>
      </w:pPr>
      <w:bookmarkStart w:id="66" w:name="fig:011"/>
      <w:r>
        <w:drawing>
          <wp:inline>
            <wp:extent cx="5334000" cy="749485"/>
            <wp:effectExtent b="0" l="0" r="0" t="0"/>
            <wp:docPr descr="Рис. 11: Запуск программы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Запуск программы</w:t>
      </w:r>
    </w:p>
    <w:p>
      <w:pPr>
        <w:numPr>
          <w:ilvl w:val="0"/>
          <w:numId w:val="1013"/>
        </w:numPr>
        <w:pStyle w:val="Compact"/>
      </w:pPr>
      <w:r>
        <w:t xml:space="preserve">Я посмотрела дисассимилированный код программы с помощью команды disassemble начиная с метки _start. (рис. 12, 13)</w:t>
      </w:r>
    </w:p>
    <w:p>
      <w:pPr>
        <w:pStyle w:val="CaptionedFigure"/>
      </w:pPr>
      <w:bookmarkStart w:id="70" w:name="fig:012"/>
      <w:r>
        <w:drawing>
          <wp:inline>
            <wp:extent cx="5334000" cy="641938"/>
            <wp:effectExtent b="0" l="0" r="0" t="0"/>
            <wp:docPr descr="Рис. 12: Дисассимилированный код программы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Дисассимилированный код программы</w:t>
      </w:r>
    </w:p>
    <w:p>
      <w:pPr>
        <w:pStyle w:val="CaptionedFigure"/>
      </w:pPr>
      <w:bookmarkStart w:id="74" w:name="fig:013"/>
      <w:r>
        <w:drawing>
          <wp:inline>
            <wp:extent cx="5334000" cy="4291961"/>
            <wp:effectExtent b="0" l="0" r="0" t="0"/>
            <wp:docPr descr="Рис. 13: Команда disassemble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Команда disassemble</w:t>
      </w:r>
    </w:p>
    <w:p>
      <w:pPr>
        <w:numPr>
          <w:ilvl w:val="0"/>
          <w:numId w:val="1014"/>
        </w:numPr>
        <w:pStyle w:val="Compact"/>
      </w:pPr>
      <w:r>
        <w:t xml:space="preserve">Я переключилась на отображение команд с Intel’овским синтаксисом, введя команду set disassembly-flavor intel. (рис. 14)</w:t>
      </w:r>
    </w:p>
    <w:p>
      <w:pPr>
        <w:pStyle w:val="CaptionedFigure"/>
      </w:pPr>
      <w:bookmarkStart w:id="78" w:name="fig:014"/>
      <w:r>
        <w:drawing>
          <wp:inline>
            <wp:extent cx="5334000" cy="5193631"/>
            <wp:effectExtent b="0" l="0" r="0" t="0"/>
            <wp:docPr descr="Рис. 14: Команда set disassembly-flavor intel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Команда set disassembly-flavor intel</w:t>
      </w:r>
    </w:p>
    <w:p>
      <w:pPr>
        <w:numPr>
          <w:ilvl w:val="0"/>
          <w:numId w:val="1015"/>
        </w:numPr>
      </w:pPr>
      <w:r>
        <w:t xml:space="preserve">Различия отображения синтаксиса машинных команд в режимах ATT и Intel.</w:t>
      </w:r>
    </w:p>
    <w:p>
      <w:pPr>
        <w:numPr>
          <w:ilvl w:val="0"/>
          <w:numId w:val="1015"/>
        </w:numPr>
      </w:pPr>
      <w:r>
        <w:t xml:space="preserve">Я включила режим псевдографики для более удобного анализа программы. (рис. 15, 16)</w:t>
      </w:r>
    </w:p>
    <w:p>
      <w:pPr>
        <w:pStyle w:val="CaptionedFigure"/>
      </w:pPr>
      <w:bookmarkStart w:id="82" w:name="fig:015"/>
      <w:r>
        <w:drawing>
          <wp:inline>
            <wp:extent cx="5334000" cy="1694362"/>
            <wp:effectExtent b="0" l="0" r="0" t="0"/>
            <wp:docPr descr="Рис. 15: Команда layout asm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Команда layout asm</w:t>
      </w:r>
    </w:p>
    <w:p>
      <w:pPr>
        <w:pStyle w:val="CaptionedFigure"/>
      </w:pPr>
      <w:bookmarkStart w:id="86" w:name="fig:016"/>
      <w:r>
        <w:drawing>
          <wp:inline>
            <wp:extent cx="5334000" cy="1844757"/>
            <wp:effectExtent b="0" l="0" r="0" t="0"/>
            <wp:docPr descr="Рис. 16: Команда layout regs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4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Команда layout regs</w:t>
      </w:r>
    </w:p>
    <w:p>
      <w:pPr>
        <w:numPr>
          <w:ilvl w:val="0"/>
          <w:numId w:val="1016"/>
        </w:numPr>
        <w:pStyle w:val="Compact"/>
      </w:pPr>
      <w:r>
        <w:t xml:space="preserve">На предыдущих шагах была установлена точка останова по имени метки (_start). Я проверила это с помощью команды info breakpoints (кратко i b). (рис. 17)</w:t>
      </w:r>
    </w:p>
    <w:p>
      <w:pPr>
        <w:pStyle w:val="CaptionedFigure"/>
      </w:pPr>
      <w:bookmarkStart w:id="90" w:name="fig:017"/>
      <w:r>
        <w:drawing>
          <wp:inline>
            <wp:extent cx="5334000" cy="2513814"/>
            <wp:effectExtent b="0" l="0" r="0" t="0"/>
            <wp:docPr descr="Рис. 17: Команда info breakpoints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Команда info breakpoints</w:t>
      </w:r>
    </w:p>
    <w:p>
      <w:pPr>
        <w:numPr>
          <w:ilvl w:val="0"/>
          <w:numId w:val="1017"/>
        </w:numPr>
        <w:pStyle w:val="Compact"/>
      </w:pPr>
      <w:r>
        <w:t xml:space="preserve">Я установила ещё одну точку останова по адресу инструкции. Адрес инструкции можно увидеть в средней части экрана в левом столбце соответствующей инструкции. Я определила адрес предпоследней инструкции (mov ebx,0x0) и установила точку останова. (рис. 18)</w:t>
      </w:r>
    </w:p>
    <w:p>
      <w:pPr>
        <w:pStyle w:val="CaptionedFigure"/>
      </w:pPr>
      <w:bookmarkStart w:id="94" w:name="fig:018"/>
      <w:r>
        <w:drawing>
          <wp:inline>
            <wp:extent cx="5334000" cy="2025111"/>
            <wp:effectExtent b="0" l="0" r="0" t="0"/>
            <wp:docPr descr="Рис. 18: Установка точки останова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Установка точки останова</w:t>
      </w:r>
    </w:p>
    <w:p>
      <w:pPr>
        <w:numPr>
          <w:ilvl w:val="0"/>
          <w:numId w:val="1018"/>
        </w:numPr>
      </w:pPr>
      <w:r>
        <w:t xml:space="preserve">Я выполнила 5 инструкций с помощью команды stepi (или si) и проследила за изменением значений регистров.</w:t>
      </w:r>
    </w:p>
    <w:p>
      <w:pPr>
        <w:numPr>
          <w:ilvl w:val="0"/>
          <w:numId w:val="1018"/>
        </w:numPr>
      </w:pPr>
      <w:r>
        <w:t xml:space="preserve">Я посмотрела содержимое регистров с помощью команды info registers (или i r).</w:t>
      </w:r>
    </w:p>
    <w:p>
      <w:pPr>
        <w:numPr>
          <w:ilvl w:val="0"/>
          <w:numId w:val="1018"/>
        </w:numPr>
      </w:pPr>
      <w:r>
        <w:t xml:space="preserve">Я посмотрела значение переменной msg1 по имени. (рис. 19)</w:t>
      </w:r>
    </w:p>
    <w:p>
      <w:pPr>
        <w:pStyle w:val="CaptionedFigure"/>
      </w:pPr>
      <w:bookmarkStart w:id="98" w:name="fig:019"/>
      <w:r>
        <w:drawing>
          <wp:inline>
            <wp:extent cx="4330700" cy="1041400"/>
            <wp:effectExtent b="0" l="0" r="0" t="0"/>
            <wp:docPr descr="Рис. 19: Значение переменной msg1 по имени" title="" id="96" name="Picture"/>
            <a:graphic>
              <a:graphicData uri="http://schemas.openxmlformats.org/drawingml/2006/picture">
                <pic:pic>
                  <pic:nvPicPr>
                    <pic:cNvPr descr="image/Рис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Значение переменной msg1 по имени</w:t>
      </w:r>
    </w:p>
    <w:p>
      <w:pPr>
        <w:numPr>
          <w:ilvl w:val="0"/>
          <w:numId w:val="1019"/>
        </w:numPr>
      </w:pPr>
      <w:r>
        <w:t xml:space="preserve">Я посмотрела значение переменной msg2 по адресу. Адрес переменной можно определить по дисассемблированной инструкции. Также я посмотрела инструкцию mov ecx,msg2 которая записывает в регистр ecx адрес перемененной msg2.</w:t>
      </w:r>
    </w:p>
    <w:p>
      <w:pPr>
        <w:numPr>
          <w:ilvl w:val="0"/>
          <w:numId w:val="1019"/>
        </w:numPr>
      </w:pPr>
      <w:r>
        <w:t xml:space="preserve">Я изменила значение для регистра или ячейки памяти с помощью команды set. Также я изменила первый символ переменной msg1. (рис. 20, 21)</w:t>
      </w:r>
    </w:p>
    <w:p>
      <w:pPr>
        <w:pStyle w:val="CaptionedFigure"/>
      </w:pPr>
      <w:bookmarkStart w:id="102" w:name="fig:020"/>
      <w:r>
        <w:drawing>
          <wp:inline>
            <wp:extent cx="4330700" cy="1041400"/>
            <wp:effectExtent b="0" l="0" r="0" t="0"/>
            <wp:docPr descr="Рис. 20: Команда set" title="" id="100" name="Picture"/>
            <a:graphic>
              <a:graphicData uri="http://schemas.openxmlformats.org/drawingml/2006/picture">
                <pic:pic>
                  <pic:nvPicPr>
                    <pic:cNvPr descr="image/Рис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Команда set</w:t>
      </w:r>
    </w:p>
    <w:p>
      <w:pPr>
        <w:pStyle w:val="CaptionedFigure"/>
      </w:pPr>
      <w:bookmarkStart w:id="106" w:name="fig:021"/>
      <w:r>
        <w:drawing>
          <wp:inline>
            <wp:extent cx="5334000" cy="6829996"/>
            <wp:effectExtent b="0" l="0" r="0" t="0"/>
            <wp:docPr descr="Рис. 21: Команда set" title="" id="104" name="Picture"/>
            <a:graphic>
              <a:graphicData uri="http://schemas.openxmlformats.org/drawingml/2006/picture">
                <pic:pic>
                  <pic:nvPicPr>
                    <pic:cNvPr descr="image/Рис.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9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Команда set</w:t>
      </w:r>
    </w:p>
    <w:p>
      <w:pPr>
        <w:numPr>
          <w:ilvl w:val="0"/>
          <w:numId w:val="1020"/>
        </w:numPr>
        <w:pStyle w:val="Compact"/>
      </w:pPr>
      <w:r>
        <w:t xml:space="preserve">Я заменила символ во второй переменной msg2. (рис. 22)</w:t>
      </w:r>
    </w:p>
    <w:p>
      <w:pPr>
        <w:pStyle w:val="CaptionedFigure"/>
      </w:pPr>
      <w:bookmarkStart w:id="110" w:name="fig:022"/>
      <w:r>
        <w:drawing>
          <wp:inline>
            <wp:extent cx="4902200" cy="1333500"/>
            <wp:effectExtent b="0" l="0" r="0" t="0"/>
            <wp:docPr descr="Рис. 22: Замена символа" title="" id="108" name="Picture"/>
            <a:graphic>
              <a:graphicData uri="http://schemas.openxmlformats.org/drawingml/2006/picture">
                <pic:pic>
                  <pic:nvPicPr>
                    <pic:cNvPr descr="image/Рис.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Замена символа</w:t>
      </w:r>
    </w:p>
    <w:p>
      <w:pPr>
        <w:numPr>
          <w:ilvl w:val="0"/>
          <w:numId w:val="1021"/>
        </w:numPr>
      </w:pPr>
      <w:r>
        <w:t xml:space="preserve">Я вывела в различных форматах (в шестнадцатеричном формате, в двоичном формате и в символьном виде) значение регистра edx.</w:t>
      </w:r>
    </w:p>
    <w:p>
      <w:pPr>
        <w:numPr>
          <w:ilvl w:val="0"/>
          <w:numId w:val="1021"/>
        </w:numPr>
      </w:pPr>
      <w:r>
        <w:t xml:space="preserve">С помощью команды set я изменила значение регистра ebx. (рис. 23, 24)</w:t>
      </w:r>
    </w:p>
    <w:p>
      <w:pPr>
        <w:pStyle w:val="CaptionedFigure"/>
      </w:pPr>
      <w:bookmarkStart w:id="114" w:name="fig:023"/>
      <w:r>
        <w:drawing>
          <wp:inline>
            <wp:extent cx="2717800" cy="1282700"/>
            <wp:effectExtent b="0" l="0" r="0" t="0"/>
            <wp:docPr descr="Рис. 23: Изменение значения регистра ebx" title="" id="112" name="Picture"/>
            <a:graphic>
              <a:graphicData uri="http://schemas.openxmlformats.org/drawingml/2006/picture">
                <pic:pic>
                  <pic:nvPicPr>
                    <pic:cNvPr descr="image/Рис.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Изменение значения регистра ebx</w:t>
      </w:r>
    </w:p>
    <w:p>
      <w:pPr>
        <w:pStyle w:val="CaptionedFigure"/>
      </w:pPr>
      <w:bookmarkStart w:id="118" w:name="fig:024"/>
      <w:r>
        <w:drawing>
          <wp:inline>
            <wp:extent cx="2717800" cy="1282700"/>
            <wp:effectExtent b="0" l="0" r="0" t="0"/>
            <wp:docPr descr="Рис. 24: Изменение значения регистра ebx" title="" id="116" name="Picture"/>
            <a:graphic>
              <a:graphicData uri="http://schemas.openxmlformats.org/drawingml/2006/picture">
                <pic:pic>
                  <pic:nvPicPr>
                    <pic:cNvPr descr="image/Рис.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Изменение значения регистра ebx</w:t>
      </w:r>
    </w:p>
    <w:p>
      <w:pPr>
        <w:numPr>
          <w:ilvl w:val="0"/>
          <w:numId w:val="1022"/>
        </w:numPr>
      </w:pPr>
      <w:r>
        <w:t xml:space="preserve">Разница вывода команд p/s $ebx.</w:t>
      </w:r>
    </w:p>
    <w:p>
      <w:pPr>
        <w:numPr>
          <w:ilvl w:val="0"/>
          <w:numId w:val="1022"/>
        </w:numPr>
      </w:pPr>
      <w:r>
        <w:t xml:space="preserve">Я завершила выполнение программы с помощью команды continue (сокращенно c) и вышла из GDB с помощью команды quit (сокращенно q). (рис. 25)</w:t>
      </w:r>
    </w:p>
    <w:p>
      <w:pPr>
        <w:pStyle w:val="CaptionedFigure"/>
      </w:pPr>
      <w:bookmarkStart w:id="122" w:name="fig:025"/>
      <w:r>
        <w:drawing>
          <wp:inline>
            <wp:extent cx="5334000" cy="1493038"/>
            <wp:effectExtent b="0" l="0" r="0" t="0"/>
            <wp:docPr descr="Рис. 25: Выход из GDB" title="" id="120" name="Picture"/>
            <a:graphic>
              <a:graphicData uri="http://schemas.openxmlformats.org/drawingml/2006/picture">
                <pic:pic>
                  <pic:nvPicPr>
                    <pic:cNvPr descr="image/Рис.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Выход из GDB</w:t>
      </w:r>
    </w:p>
    <w:p>
      <w:pPr>
        <w:numPr>
          <w:ilvl w:val="0"/>
          <w:numId w:val="1023"/>
        </w:numPr>
        <w:pStyle w:val="Compact"/>
      </w:pPr>
      <w:r>
        <w:t xml:space="preserve">Я скопировала файл lab9-2.asm, созданный при выполнении лабораторной работы №9, с программой, выводящей на экран аргументы командной строки в файл с именем lab10-3.asm. (рис. 26)</w:t>
      </w:r>
    </w:p>
    <w:p>
      <w:pPr>
        <w:pStyle w:val="CaptionedFigure"/>
      </w:pPr>
      <w:bookmarkStart w:id="126" w:name="fig:026"/>
      <w:r>
        <w:drawing>
          <wp:inline>
            <wp:extent cx="5334000" cy="225300"/>
            <wp:effectExtent b="0" l="0" r="0" t="0"/>
            <wp:docPr descr="Рис. 26: Копирование" title="" id="124" name="Picture"/>
            <a:graphic>
              <a:graphicData uri="http://schemas.openxmlformats.org/drawingml/2006/picture">
                <pic:pic>
                  <pic:nvPicPr>
                    <pic:cNvPr descr="image/Рис.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Копирование</w:t>
      </w:r>
    </w:p>
    <w:p>
      <w:pPr>
        <w:numPr>
          <w:ilvl w:val="0"/>
          <w:numId w:val="1024"/>
        </w:numPr>
        <w:pStyle w:val="Compact"/>
      </w:pPr>
      <w:r>
        <w:t xml:space="preserve">Я создала исполняемый файл. (рис. 27)</w:t>
      </w:r>
    </w:p>
    <w:p>
      <w:pPr>
        <w:pStyle w:val="CaptionedFigure"/>
      </w:pPr>
      <w:bookmarkStart w:id="130" w:name="fig:027"/>
      <w:r>
        <w:drawing>
          <wp:inline>
            <wp:extent cx="5334000" cy="2016161"/>
            <wp:effectExtent b="0" l="0" r="0" t="0"/>
            <wp:docPr descr="Рис. 27: Создание исполняемого файла" title="" id="128" name="Picture"/>
            <a:graphic>
              <a:graphicData uri="http://schemas.openxmlformats.org/drawingml/2006/picture">
                <pic:pic>
                  <pic:nvPicPr>
                    <pic:cNvPr descr="image/Рис.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Создание исполняемого файла</w:t>
      </w:r>
    </w:p>
    <w:p>
      <w:pPr>
        <w:numPr>
          <w:ilvl w:val="0"/>
          <w:numId w:val="1025"/>
        </w:numPr>
      </w:pPr>
      <w:r>
        <w:t xml:space="preserve">Для загрузки в gdb программы с аргументами необходимо использовать ключ –args. Я загрузила исполняемый файл в отладчик, указав аргументы.</w:t>
      </w:r>
    </w:p>
    <w:p>
      <w:pPr>
        <w:numPr>
          <w:ilvl w:val="0"/>
          <w:numId w:val="1025"/>
        </w:numPr>
      </w:pPr>
      <w:r>
        <w:t xml:space="preserve">Как отмечалось в предыдущей лабораторной работе, при запуске программы аргументы командной строки загружаются в стек. Исследуем расположение аргументов командной строки в стеке после запуска программы с помощью gdb. Для начала установим точку останова перед первой инструкцией в программе и запустим её. (рис. 28)</w:t>
      </w:r>
    </w:p>
    <w:p>
      <w:pPr>
        <w:pStyle w:val="CaptionedFigure"/>
      </w:pPr>
      <w:bookmarkStart w:id="134" w:name="fig:028"/>
      <w:r>
        <w:drawing>
          <wp:inline>
            <wp:extent cx="5334000" cy="681661"/>
            <wp:effectExtent b="0" l="0" r="0" t="0"/>
            <wp:docPr descr="Рис. 28: Установка и запуск точки останова" title="" id="132" name="Picture"/>
            <a:graphic>
              <a:graphicData uri="http://schemas.openxmlformats.org/drawingml/2006/picture">
                <pic:pic>
                  <pic:nvPicPr>
                    <pic:cNvPr descr="image/Рис.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Установка и запуск точки останова</w:t>
      </w:r>
    </w:p>
    <w:p>
      <w:pPr>
        <w:numPr>
          <w:ilvl w:val="0"/>
          <w:numId w:val="1026"/>
        </w:numPr>
        <w:pStyle w:val="Compact"/>
      </w:pPr>
      <w:r>
        <w:t xml:space="preserve">Адрес вершины стека хранится в регистре esp и по этому адресу располагается число, равное количеству аргументов командной строки (включая имя программы). (рис. 29)</w:t>
      </w:r>
    </w:p>
    <w:p>
      <w:pPr>
        <w:pStyle w:val="CaptionedFigure"/>
      </w:pPr>
      <w:bookmarkStart w:id="138" w:name="fig:029"/>
      <w:r>
        <w:drawing>
          <wp:inline>
            <wp:extent cx="3505200" cy="939800"/>
            <wp:effectExtent b="0" l="0" r="0" t="0"/>
            <wp:docPr descr="Рис. 29: Адрес вершины стека" title="" id="136" name="Picture"/>
            <a:graphic>
              <a:graphicData uri="http://schemas.openxmlformats.org/drawingml/2006/picture">
                <pic:pic>
                  <pic:nvPicPr>
                    <pic:cNvPr descr="image/Рис.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Адрес вершины стека</w:t>
      </w:r>
    </w:p>
    <w:p>
      <w:pPr>
        <w:numPr>
          <w:ilvl w:val="0"/>
          <w:numId w:val="1027"/>
        </w:numPr>
        <w:pStyle w:val="Compact"/>
      </w:pPr>
      <w:r>
        <w:t xml:space="preserve">Как видно, число аргументов равно 4 – это имя программы lab10-3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 Я посмотрела остальные позиции стека. (рис. 30)</w:t>
      </w:r>
    </w:p>
    <w:p>
      <w:pPr>
        <w:pStyle w:val="CaptionedFigure"/>
      </w:pPr>
      <w:bookmarkStart w:id="142" w:name="fig:030"/>
      <w:r>
        <w:drawing>
          <wp:inline>
            <wp:extent cx="5334000" cy="1333500"/>
            <wp:effectExtent b="0" l="0" r="0" t="0"/>
            <wp:docPr descr="Рис. 30: Просмотр позиций стека" title="" id="140" name="Picture"/>
            <a:graphic>
              <a:graphicData uri="http://schemas.openxmlformats.org/drawingml/2006/picture">
                <pic:pic>
                  <pic:nvPicPr>
                    <pic:cNvPr descr="image/Рис.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Просмотр позиций стека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28"/>
        </w:numPr>
        <w:pStyle w:val="Compact"/>
      </w:pPr>
      <w:r>
        <w:t xml:space="preserve">Я преобразовала программу из лабораторной работы №9 (задание №1 для самостоятельной работы), реализовав вычисление значения функции f(x) как подпрограмму.</w:t>
      </w:r>
    </w:p>
    <w:p>
      <w:pPr>
        <w:pStyle w:val="CaptionedFigure"/>
      </w:pPr>
      <w:bookmarkStart w:id="146" w:name="fig:031"/>
      <w:r>
        <w:drawing>
          <wp:inline>
            <wp:extent cx="5295900" cy="9677400"/>
            <wp:effectExtent b="0" l="0" r="0" t="0"/>
            <wp:docPr descr="Рис. 31: Преобразование программы" title="" id="144" name="Picture"/>
            <a:graphic>
              <a:graphicData uri="http://schemas.openxmlformats.org/drawingml/2006/picture">
                <pic:pic>
                  <pic:nvPicPr>
                    <pic:cNvPr descr="image/Рис.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967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Преобразование программы</w:t>
      </w:r>
    </w:p>
    <w:p>
      <w:pPr>
        <w:pStyle w:val="CaptionedFigure"/>
      </w:pPr>
      <w:bookmarkStart w:id="150" w:name="fig:032"/>
      <w:r>
        <w:drawing>
          <wp:inline>
            <wp:extent cx="5334000" cy="1059398"/>
            <wp:effectExtent b="0" l="0" r="0" t="0"/>
            <wp:docPr descr="Рис. 32: Проверка работы программы" title="" id="148" name="Picture"/>
            <a:graphic>
              <a:graphicData uri="http://schemas.openxmlformats.org/drawingml/2006/picture">
                <pic:pic>
                  <pic:nvPicPr>
                    <pic:cNvPr descr="image/Рис.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32: Проверка работы программы</w:t>
      </w:r>
    </w:p>
    <w:p>
      <w:pPr>
        <w:numPr>
          <w:ilvl w:val="0"/>
          <w:numId w:val="1029"/>
        </w:numPr>
        <w:pStyle w:val="Compact"/>
      </w:pPr>
      <w:r>
        <w:t xml:space="preserve">В листинге приведена программа вычисления выражения (3+2)*4+5. При запуске данная программа даёт неверный результат. С помощью отладчика GDB, анализируя изменения значений регистров, я определила ошибку и исправила её. (рис. 33, 34, 35, 36)</w:t>
      </w:r>
    </w:p>
    <w:p>
      <w:pPr>
        <w:pStyle w:val="CaptionedFigure"/>
      </w:pPr>
      <w:bookmarkStart w:id="154" w:name="fig:033"/>
      <w:r>
        <w:drawing>
          <wp:inline>
            <wp:extent cx="4902200" cy="6134100"/>
            <wp:effectExtent b="0" l="0" r="0" t="0"/>
            <wp:docPr descr="Рис. 33: Текст программы из листинга" title="" id="152" name="Picture"/>
            <a:graphic>
              <a:graphicData uri="http://schemas.openxmlformats.org/drawingml/2006/picture">
                <pic:pic>
                  <pic:nvPicPr>
                    <pic:cNvPr descr="image/Рис.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33: Текст программы из листинга</w:t>
      </w:r>
    </w:p>
    <w:p>
      <w:pPr>
        <w:pStyle w:val="CaptionedFigure"/>
      </w:pPr>
      <w:bookmarkStart w:id="158" w:name="fig:034"/>
      <w:r>
        <w:drawing>
          <wp:inline>
            <wp:extent cx="5334000" cy="648229"/>
            <wp:effectExtent b="0" l="0" r="0" t="0"/>
            <wp:docPr descr="Рис. 34: Проверка программы" title="" id="156" name="Picture"/>
            <a:graphic>
              <a:graphicData uri="http://schemas.openxmlformats.org/drawingml/2006/picture">
                <pic:pic>
                  <pic:nvPicPr>
                    <pic:cNvPr descr="image/Рис.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Рис. 34: Проверка программы</w:t>
      </w:r>
    </w:p>
    <w:p>
      <w:pPr>
        <w:pStyle w:val="CaptionedFigure"/>
      </w:pPr>
      <w:bookmarkStart w:id="162" w:name="fig:035"/>
      <w:r>
        <w:drawing>
          <wp:inline>
            <wp:extent cx="3073400" cy="6096000"/>
            <wp:effectExtent b="0" l="0" r="0" t="0"/>
            <wp:docPr descr="Рис. 35: Изменённый текст программы" title="" id="160" name="Picture"/>
            <a:graphic>
              <a:graphicData uri="http://schemas.openxmlformats.org/drawingml/2006/picture">
                <pic:pic>
                  <pic:nvPicPr>
                    <pic:cNvPr descr="image/Рис.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35: Изменённый текст программы</w:t>
      </w:r>
    </w:p>
    <w:p>
      <w:pPr>
        <w:pStyle w:val="CaptionedFigure"/>
      </w:pPr>
      <w:bookmarkStart w:id="166" w:name="fig:036"/>
      <w:r>
        <w:drawing>
          <wp:inline>
            <wp:extent cx="5334000" cy="641195"/>
            <wp:effectExtent b="0" l="0" r="0" t="0"/>
            <wp:docPr descr="Рис. 36: Результат работы программы" title="" id="164" name="Picture"/>
            <a:graphic>
              <a:graphicData uri="http://schemas.openxmlformats.org/drawingml/2006/picture">
                <pic:pic>
                  <pic:nvPicPr>
                    <pic:cNvPr descr="image/Рис.3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Рис. 36: Результат работы программы</w:t>
      </w:r>
    </w:p>
    <w:bookmarkEnd w:id="167"/>
    <w:bookmarkStart w:id="1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навыки написания программ с использованием подпрограмм. Ознакомилась с методами отладки при помощи GDB и его основными возможностями.</w:t>
      </w:r>
    </w:p>
    <w:bookmarkEnd w:id="1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4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5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6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27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Кочина Дарья Сергеевна</dc:creator>
  <dc:language>ru-RU</dc:language>
  <cp:keywords/>
  <dcterms:created xsi:type="dcterms:W3CDTF">2022-12-16T12:14:02Z</dcterms:created>
  <dcterms:modified xsi:type="dcterms:W3CDTF">2022-12-16T12:14:02Z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Понятие подпрограммы. Отладчик GDB.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