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Quarterly report</w:t>
      </w:r>
    </w:p>
    <w:p>
      <w:r>
        <w:t xml:space="preserve">Prepared for </w:t>
      </w:r>
      <w:r>
        <w:rPr>
          <w:b/>
          <w:bCs/>
        </w:rPr>
        <w:t xml:space="preserve">Acme Corp</w:t>
      </w:r>
      <w:r>
        <w:t xml:space="preserve"> — Q2 2026, </w:t>
      </w:r>
      <w:r>
        <w:rPr>
          <w:i/>
          <w:iCs/>
        </w:rPr>
        <w:t xml:space="preserve">confidential</w:t>
      </w:r>
      <w:r>
        <w:t xml:space="preserve">.</w:t>
      </w:r>
    </w:p>
    <w:p>
      <w:pPr>
        <w:pStyle w:val="Heading2"/>
      </w:pPr>
      <w:r>
        <w:t xml:space="preserve">Highlights</w:t>
      </w:r>
    </w:p>
    <w:p>
      <w:pPr>
        <w:pStyle w:val="ListParagraph"/>
        <w:numPr>
          <w:ilvl w:val="0"/>
          <w:numId w:val="1"/>
        </w:numPr>
      </w:pPr>
      <w:r>
        <w:t xml:space="preserve">Revenue up 12% quarter over quarter</w:t>
      </w:r>
    </w:p>
    <w:p>
      <w:pPr>
        <w:pStyle w:val="ListParagraph"/>
        <w:numPr>
          <w:ilvl w:val="0"/>
          <w:numId w:val="1"/>
        </w:numPr>
      </w:pPr>
      <w:r>
        <w:t xml:space="preserve">Two regions, one with details</w:t>
      </w:r>
    </w:p>
    <w:p>
      <w:pPr>
        <w:pStyle w:val="ListParagraph"/>
        <w:numPr>
          <w:ilvl w:val="1"/>
          <w:numId w:val="1"/>
        </w:numPr>
      </w:pPr>
      <w:r>
        <w:t xml:space="preserve">EMEA: +18%</w:t>
      </w:r>
    </w:p>
    <w:p>
      <w:pPr>
        <w:pStyle w:val="ListParagraph"/>
        <w:numPr>
          <w:ilvl w:val="1"/>
          <w:numId w:val="1"/>
        </w:numPr>
      </w:pPr>
      <w:r>
        <w:t xml:space="preserve">APAC: +7%</w:t>
      </w:r>
    </w:p>
    <w:p>
      <w:pPr>
        <w:pStyle w:val="ListParagraph"/>
        <w:numPr>
          <w:ilvl w:val="0"/>
          <w:numId w:val="1"/>
        </w:numPr>
      </w:pPr>
      <w:r>
        <w:t xml:space="preserve">Churn down to 1.9%</w:t>
      </w:r>
    </w:p>
    <w:tbl>
      <w:tblPr>
        <w:tblW w:w="0" w:type="auto"/>
        <w:tblCellMar>
          <w:top w:w="0" w:type="dxa"/>
          <w:left w:w="80" w:type="dxa"/>
          <w:bottom w:w="0" w:type="dxa"/>
          <w:right w:w="80" w:type="dxa"/>
        </w:tblCellMar>
      </w:tblPr>
      <w:tblGrid>
        <w:gridCol w:w="2000"/>
        <w:gridCol w:w="2000"/>
      </w:tblGrid>
      <w:tr>
        <w:trPr>
          <w:tblHeader/>
        </w:trPr>
        <w:tc>
          <w:tcPr/>
          <w:p>
            <w:r>
              <w:t xml:space="preserve">Region</w:t>
            </w:r>
          </w:p>
        </w:tc>
        <w:tc>
          <w:tcPr/>
          <w:p>
            <w:r>
              <w:t xml:space="preserve">Revenue</w:t>
            </w:r>
          </w:p>
        </w:tc>
      </w:tr>
      <w:tr>
        <w:tc>
          <w:tcPr/>
          <w:p>
            <w:r>
              <w:t xml:space="preserve">EMEA</w:t>
            </w:r>
          </w:p>
        </w:tc>
        <w:tc>
          <w:tcPr/>
          <w:p>
            <w:r>
              <w:t xml:space="preserve">$1.2M</w:t>
            </w:r>
          </w:p>
        </w:tc>
      </w:tr>
      <w:tr>
        <w:tc>
          <w:tcPr/>
          <w:p>
            <w:r>
              <w:t xml:space="preserve">APAC</w:t>
            </w:r>
          </w:p>
        </w:tc>
        <w:tc>
          <w:tcPr/>
          <w:p>
            <w:r>
              <w:t xml:space="preserve">$0.8M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Appendix</w:t>
      </w:r>
    </w:p>
    <w:p>
      <w:r>
        <w:t xml:space="preserve">Full data set available on request.</w:t>
      </w:r>
    </w:p>
    <w:sectPr>
      <w:headerReference w:type="default" r:id="rId1"/>
      <w:footerReference w:type="default" r:id="rId2"/>
      <w:pgSz w:w="11906" w:h="16839" w:orient="portrait"/>
      <w:pgMar w:top="1133" w:right="850" w:bottom="1133" w:left="850" w:header="283" w:footer="283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p>
    <w:r>
      <w:t xml:space="preserve">Acme Corp — page footer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o:extrusionok="f" gradientshapeok="t" o:connecttype="custom" o:connectlocs="@9,0;@10,10800;@11,21600;@12,10800" o:connectangles="270,180,90,0"/>
          <v:textpath on="t" fitshape="t"/>
          <o:lock v:ext="edit" text="t" shapetype="t"/>
        </v:shapetype>
        <v:shape id="WordPictureWatermark" o:spid="_x0000_s2049" type="#_x0000_t136" style="position:absolute;margin-left:0;margin-top:0;width:468pt;height:234pt;rotation:315;z-index:251654144;mso-position-horizontal:center;mso-position-horizontal-relative:margin;mso-position-vertical:center;mso-position-vertical-relative:margin" fillcolor="silver" stroked="f">
          <v:fill opacity=".5"/>
          <v:textpath style="font-family:&quot;Calibri&quot;;font-size:1pt" string="DRAFT"/>
        </v:shape>
      </w:pic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0" w:line="276" w:lineRule="auto"/>
      </w:pPr>
    </w:pPrDefault>
  </w:docDefaults>
  <w:style w:type="paragraph" w:styleId="Heading1">
    <w:name w:val="Heading 1"/>
    <w:basedOn w:val="Normal"/>
    <w:next w:val="Normal"/>
    <w:qFormat/>
    <w:pPr>
      <w:spacing w:before="220" w:after="110"/>
    </w:pPr>
    <w:rPr>
      <w:b/>
      <w:bCs/>
      <w:color w:val="0f172a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b/>
      <w:bCs/>
      <w:color w:val="0f172a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180" w:after="90"/>
    </w:pPr>
    <w:rPr>
      <w:b/>
      <w:bCs/>
      <w:color w:val="1f2937"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160" w:after="80"/>
    </w:pPr>
    <w:rPr>
      <w:b/>
      <w:bCs/>
      <w:color w:val="1f2937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40" w:after="70"/>
    </w:pPr>
    <w:rPr>
      <w:b/>
      <w:bCs/>
      <w:color w:val="374151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20" w:after="60"/>
    </w:pPr>
    <w:rPr>
      <w:b/>
      <w:bCs/>
      <w:color w:val="374151"/>
      <w:sz w:val="20"/>
      <w:szCs w:val="20"/>
    </w:rPr>
  </w:style>
  <w:style w:type="paragraph" w:styleId="ListParagraph">
    <w:name w:val="List Paragraph"/>
    <w:basedOn w:val="Normal"/>
    <w:next w:val="Normal"/>
    <w:pPr>
      <w:ind w:left="720"/>
    </w:pPr>
  </w:style>
  <w:style w:type="paragraph" w:styleId="Caption">
    <w:name w:val="Caption"/>
    <w:pPr>
      <w:spacing w:before="80" w:after="80"/>
      <w:jc w:val="center"/>
    </w:pPr>
    <w:rPr>
      <w:i/>
      <w:iCs/>
      <w:color w:val="6b7280"/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