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 How The Other Half Lives Research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Leonard</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Johnson</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Capasso</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thanks: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Dr. Campbell for attending our meetings and providing guidance as we worked through this project.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Original Research Question: How does the other half live?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Document: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How The Other Half Lives Project Gutenberg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our project we downloaded this as HTML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Process: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first began this project we knew we wanted to work with this text, but we were unsure of exactly what it was we wanted to do with it. After meeting a few times to discuss this we decided that the answer was pretty obvious. We wanted to figure out how the other half lived, and make it easier for readers to figure that out as well.</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all reading the text and creating a list of XML tags that we could use to categorize each of the things that Riis talks about so that we could eventually implement a feature that would allow readers to check a box and have our reading view highlight each mention of that subject. For example the reader could check the “crime” box and every mention of crime from the book would then be highlighted.</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tag list that we decided on is as follows: Location, Immigrants, Conditions, Death, Vice, Narrative, Disease, Crime, Footnote, Illustration, Work, Policing.</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utenberg.org/files/45502/45502-h/45502-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