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/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t>Control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t>Treatment 1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t>Treatment 2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t>Ability (test score)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101.65</w:t>
              <w:br/>
              <w:t>(15.25)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97.77</w:t>
              <w:br/>
              <w:t>(14.45)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101.86</w:t>
              <w:br/>
              <w:t>(14.38)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r>
              <w:t>Age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37.10</w:t>
              <w:br/>
              <w:t>(12.31)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39.36</w:t>
              <w:br/>
              <w:t>(11.89)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38.16</w:t>
              <w:br/>
              <w:t>(12.39)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r>
              <w:t>N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362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310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328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</w:p>
        </w:tc>
      </w:tr>
      <w:tr>
        <w:tc>
          <w:tcPr>
            <w:tcW w:type="dxa" w:w="4936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>Note: Displayed statistics are Mean (Std. Dev.).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