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hase-1-proposal-structure"/>
    <w:p>
      <w:pPr>
        <w:pStyle w:val="Heading1"/>
      </w:pPr>
      <w:r>
        <w:t xml:space="preserve">Phase 1 Proposal Structure</w:t>
      </w:r>
    </w:p>
    <w:bookmarkStart w:id="21" w:name="X0f69612d19751de0da7a0fb35b1d1543e3d131c"/>
    <w:p>
      <w:pPr>
        <w:pStyle w:val="Heading2"/>
      </w:pPr>
      <w:r>
        <w:t xml:space="preserve">AI Foundation + Lead Sourcing &amp; Qualification Engine</w:t>
      </w:r>
    </w:p>
    <w:bookmarkStart w:id="20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The objective of Phase 1 is to establish the foundational AI infrastructure and lead sourcing engine required to support future LinkedIn outreach, email outreach, and AI-assisted prospect engagement initiatives.</w:t>
      </w:r>
    </w:p>
    <w:p>
      <w:pPr>
        <w:pStyle w:val="BodyText"/>
      </w:pPr>
      <w:r>
        <w:t xml:space="preserve">This phase is designed to deliver immediate operational value while creating the foundation for future automation projects.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9" w:name="scope-of-work"/>
    <w:p>
      <w:pPr>
        <w:pStyle w:val="Heading1"/>
      </w:pPr>
      <w:r>
        <w:t xml:space="preserve">Scope of Work</w:t>
      </w:r>
    </w:p>
    <w:bookmarkStart w:id="25" w:name="project-1-ai-foundation-business-context"/>
    <w:p>
      <w:pPr>
        <w:pStyle w:val="Heading2"/>
      </w:pPr>
      <w:r>
        <w:t xml:space="preserve">Project 1: AI Foundation &amp; Business Context</w:t>
      </w:r>
    </w:p>
    <w:bookmarkStart w:id="23" w:name="deliverables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1"/>
        </w:numPr>
      </w:pPr>
      <w:r>
        <w:t xml:space="preserve">VPS Server Setup</w:t>
      </w:r>
    </w:p>
    <w:p>
      <w:pPr>
        <w:pStyle w:val="Compact"/>
        <w:numPr>
          <w:ilvl w:val="0"/>
          <w:numId w:val="1001"/>
        </w:numPr>
      </w:pPr>
      <w:r>
        <w:t xml:space="preserve">Hermes Agent Setup</w:t>
      </w:r>
    </w:p>
    <w:p>
      <w:pPr>
        <w:pStyle w:val="Compact"/>
        <w:numPr>
          <w:ilvl w:val="0"/>
          <w:numId w:val="1001"/>
        </w:numPr>
      </w:pPr>
      <w:r>
        <w:t xml:space="preserve">OpenRouter Configuration</w:t>
      </w:r>
    </w:p>
    <w:p>
      <w:pPr>
        <w:pStyle w:val="Compact"/>
        <w:numPr>
          <w:ilvl w:val="0"/>
          <w:numId w:val="1001"/>
        </w:numPr>
      </w:pPr>
      <w:r>
        <w:t xml:space="preserve">ChatGPT Integration</w:t>
      </w:r>
    </w:p>
    <w:p>
      <w:pPr>
        <w:pStyle w:val="Compact"/>
        <w:numPr>
          <w:ilvl w:val="0"/>
          <w:numId w:val="1001"/>
        </w:numPr>
      </w:pPr>
      <w:r>
        <w:t xml:space="preserve">Business Context Configuration</w:t>
      </w:r>
    </w:p>
    <w:p>
      <w:pPr>
        <w:pStyle w:val="Compact"/>
        <w:numPr>
          <w:ilvl w:val="0"/>
          <w:numId w:val="1001"/>
        </w:numPr>
      </w:pPr>
      <w:r>
        <w:t xml:space="preserve">Service Offering Knowledge Base</w:t>
      </w:r>
    </w:p>
    <w:p>
      <w:pPr>
        <w:pStyle w:val="Compact"/>
        <w:numPr>
          <w:ilvl w:val="0"/>
          <w:numId w:val="1001"/>
        </w:numPr>
      </w:pPr>
      <w:r>
        <w:t xml:space="preserve">ICP Definition Framework</w:t>
      </w:r>
    </w:p>
    <w:p>
      <w:pPr>
        <w:pStyle w:val="Compact"/>
        <w:numPr>
          <w:ilvl w:val="0"/>
          <w:numId w:val="1001"/>
        </w:numPr>
      </w:pPr>
      <w:r>
        <w:t xml:space="preserve">Case Study Repository</w:t>
      </w:r>
    </w:p>
    <w:p>
      <w:pPr>
        <w:pStyle w:val="Compact"/>
        <w:numPr>
          <w:ilvl w:val="0"/>
          <w:numId w:val="1001"/>
        </w:numPr>
      </w:pPr>
      <w:r>
        <w:t xml:space="preserve">AI Prompt Library</w:t>
      </w:r>
    </w:p>
    <w:p>
      <w:pPr>
        <w:pStyle w:val="Compact"/>
        <w:numPr>
          <w:ilvl w:val="0"/>
          <w:numId w:val="1001"/>
        </w:numPr>
      </w:pPr>
      <w:r>
        <w:t xml:space="preserve">Prospect Research Framework</w:t>
      </w:r>
    </w:p>
    <w:p>
      <w:pPr>
        <w:pStyle w:val="Compact"/>
        <w:numPr>
          <w:ilvl w:val="0"/>
          <w:numId w:val="1001"/>
        </w:numPr>
      </w:pPr>
      <w:r>
        <w:t xml:space="preserve">Lead Qualification Framework</w:t>
      </w:r>
    </w:p>
    <w:bookmarkEnd w:id="23"/>
    <w:bookmarkStart w:id="24" w:name="outcome"/>
    <w:p>
      <w:pPr>
        <w:pStyle w:val="Heading3"/>
      </w:pPr>
      <w:r>
        <w:t xml:space="preserve">Outcome</w:t>
      </w:r>
    </w:p>
    <w:p>
      <w:pPr>
        <w:pStyle w:val="FirstParagraph"/>
      </w:pPr>
      <w:r>
        <w:t xml:space="preserve">An AI agent capable of understanding the client’s business, services, ideal customer profiles, and outreach objectives.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7166b49128d9a5dd91bab314d0e1ea62b276af4"/>
    <w:p>
      <w:pPr>
        <w:pStyle w:val="Heading2"/>
      </w:pPr>
      <w:r>
        <w:t xml:space="preserve">Project 2: Lead Sourcing, Enrichment &amp; Qualification</w:t>
      </w:r>
    </w:p>
    <w:bookmarkStart w:id="26" w:name="deliverables-1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2"/>
        </w:numPr>
      </w:pPr>
      <w:r>
        <w:t xml:space="preserve">Apollo Search Framework Setup</w:t>
      </w:r>
    </w:p>
    <w:p>
      <w:pPr>
        <w:pStyle w:val="Compact"/>
        <w:numPr>
          <w:ilvl w:val="0"/>
          <w:numId w:val="1002"/>
        </w:numPr>
      </w:pPr>
      <w:r>
        <w:t xml:space="preserve">Apify Enrichment Workflow Setup</w:t>
      </w:r>
    </w:p>
    <w:p>
      <w:pPr>
        <w:pStyle w:val="Compact"/>
        <w:numPr>
          <w:ilvl w:val="0"/>
          <w:numId w:val="1002"/>
        </w:numPr>
      </w:pPr>
      <w:r>
        <w:t xml:space="preserve">Lead Qualification Framework</w:t>
      </w:r>
    </w:p>
    <w:p>
      <w:pPr>
        <w:pStyle w:val="Compact"/>
        <w:numPr>
          <w:ilvl w:val="0"/>
          <w:numId w:val="1002"/>
        </w:numPr>
      </w:pPr>
      <w:r>
        <w:t xml:space="preserve">ICP Matching Process</w:t>
      </w:r>
    </w:p>
    <w:p>
      <w:pPr>
        <w:pStyle w:val="Compact"/>
        <w:numPr>
          <w:ilvl w:val="0"/>
          <w:numId w:val="1002"/>
        </w:numPr>
      </w:pPr>
      <w:r>
        <w:t xml:space="preserve">Lead Scoring Methodology</w:t>
      </w:r>
    </w:p>
    <w:p>
      <w:pPr>
        <w:pStyle w:val="Compact"/>
        <w:numPr>
          <w:ilvl w:val="0"/>
          <w:numId w:val="1002"/>
        </w:numPr>
      </w:pPr>
      <w:r>
        <w:t xml:space="preserve">Prospect Prioritization Framework</w:t>
      </w:r>
    </w:p>
    <w:p>
      <w:pPr>
        <w:pStyle w:val="Compact"/>
        <w:numPr>
          <w:ilvl w:val="0"/>
          <w:numId w:val="1002"/>
        </w:numPr>
      </w:pPr>
      <w:r>
        <w:t xml:space="preserve">Qualified Lead Database Structure</w:t>
      </w:r>
    </w:p>
    <w:p>
      <w:pPr>
        <w:pStyle w:val="Compact"/>
        <w:numPr>
          <w:ilvl w:val="0"/>
          <w:numId w:val="1002"/>
        </w:numPr>
      </w:pPr>
      <w:r>
        <w:t xml:space="preserve">Standard Operating Procedure Documentation</w:t>
      </w:r>
    </w:p>
    <w:bookmarkEnd w:id="26"/>
    <w:bookmarkStart w:id="27" w:name="outcome-1"/>
    <w:p>
      <w:pPr>
        <w:pStyle w:val="Heading3"/>
      </w:pPr>
      <w:r>
        <w:t xml:space="preserve">Outcome</w:t>
      </w:r>
    </w:p>
    <w:p>
      <w:pPr>
        <w:pStyle w:val="FirstParagraph"/>
      </w:pPr>
      <w:r>
        <w:t xml:space="preserve">A repeatable AI-assisted lead sourcing and qualification engine capable of identifying and prioritizing high-value prospects.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project-timeline"/>
    <w:p>
      <w:pPr>
        <w:pStyle w:val="Heading1"/>
      </w:pPr>
      <w:r>
        <w:t xml:space="preserve">Project Timeline</w:t>
      </w:r>
    </w:p>
    <w:bookmarkStart w:id="30" w:name="week-1"/>
    <w:p>
      <w:pPr>
        <w:pStyle w:val="Heading3"/>
      </w:pPr>
      <w:r>
        <w:t xml:space="preserve">Week 1</w:t>
      </w:r>
    </w:p>
    <w:p>
      <w:pPr>
        <w:pStyle w:val="FirstParagraph"/>
      </w:pPr>
      <w:r>
        <w:t xml:space="preserve">Project 1:</w:t>
      </w:r>
      <w:r>
        <w:t xml:space="preserve"> </w:t>
      </w:r>
      <w:r>
        <w:t xml:space="preserve">AI Foundation &amp; Business Context</w:t>
      </w:r>
    </w:p>
    <w:bookmarkEnd w:id="30"/>
    <w:bookmarkStart w:id="31" w:name="week-2---week-3"/>
    <w:p>
      <w:pPr>
        <w:pStyle w:val="Heading3"/>
      </w:pPr>
      <w:r>
        <w:t xml:space="preserve">Week 2 - Week 3</w:t>
      </w:r>
    </w:p>
    <w:p>
      <w:pPr>
        <w:pStyle w:val="FirstParagraph"/>
      </w:pPr>
      <w:r>
        <w:t xml:space="preserve">Project 2:</w:t>
      </w:r>
      <w:r>
        <w:t xml:space="preserve"> </w:t>
      </w:r>
      <w:r>
        <w:t xml:space="preserve">Lead Sourcing, Enrichment &amp; Qualification</w:t>
      </w:r>
    </w:p>
    <w:bookmarkEnd w:id="31"/>
    <w:bookmarkStart w:id="32" w:name="total-estimated-duration"/>
    <w:p>
      <w:pPr>
        <w:pStyle w:val="Heading3"/>
      </w:pPr>
      <w:r>
        <w:t xml:space="preserve">Total Estimated Duration</w:t>
      </w:r>
    </w:p>
    <w:p>
      <w:pPr>
        <w:pStyle w:val="FirstParagraph"/>
      </w:pPr>
      <w:r>
        <w:t xml:space="preserve">2–3 Weeks</w:t>
      </w:r>
    </w:p>
    <w:p>
      <w:pPr>
        <w:pStyle w:val="BodyText"/>
      </w:pPr>
      <w:r>
        <w:t xml:space="preserve">(Allowing up to 4 weeks for stakeholder reviews, feedback cycles, and onboarding activities.)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technology-costs"/>
    <w:p>
      <w:pPr>
        <w:pStyle w:val="Heading1"/>
      </w:pPr>
      <w:r>
        <w:t xml:space="preserve">Technology Costs</w:t>
      </w:r>
    </w:p>
    <w:p>
      <w:pPr>
        <w:pStyle w:val="FirstParagraph"/>
      </w:pPr>
      <w:r>
        <w:t xml:space="preserve">Technology subscriptions and usage costs are billed directly to the client and are not included in implementation fees.</w:t>
      </w:r>
    </w:p>
    <w:bookmarkStart w:id="34" w:name="estimated-monthly-technology-cost"/>
    <w:p>
      <w:pPr>
        <w:pStyle w:val="Heading3"/>
      </w:pPr>
      <w:r>
        <w:t xml:space="preserve">Estimated Monthly Technology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 Hosting</w:t>
            </w:r>
          </w:p>
        </w:tc>
        <w:tc>
          <w:tcPr/>
          <w:p>
            <w:pPr>
              <w:pStyle w:val="Compact"/>
            </w:pPr>
            <w:r>
              <w:t xml:space="preserve">$10-$25/month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 API</w:t>
            </w:r>
          </w:p>
        </w:tc>
        <w:tc>
          <w:tcPr/>
          <w:p>
            <w:pPr>
              <w:pStyle w:val="Compact"/>
            </w:pPr>
            <w:r>
              <w:t xml:space="preserve">$20-$50/month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Plus</w:t>
            </w:r>
          </w:p>
        </w:tc>
        <w:tc>
          <w:tcPr/>
          <w:p>
            <w:pPr>
              <w:pStyle w:val="Compact"/>
            </w:pPr>
            <w:r>
              <w:t xml:space="preserve">$20/month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Apollo</w:t>
            </w:r>
          </w:p>
        </w:tc>
        <w:tc>
          <w:tcPr/>
          <w:p>
            <w:pPr>
              <w:pStyle w:val="Compact"/>
            </w:pPr>
            <w:r>
              <w:t xml:space="preserve">$99-$149/month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Apify</w:t>
            </w:r>
          </w:p>
        </w:tc>
        <w:tc>
          <w:tcPr/>
          <w:p>
            <w:pPr>
              <w:pStyle w:val="Compact"/>
            </w:pPr>
            <w:r>
              <w:t xml:space="preserve">$39-$99/month</w:t>
            </w:r>
          </w:p>
        </w:tc>
      </w:tr>
    </w:tbl>
    <w:bookmarkEnd w:id="34"/>
    <w:bookmarkStart w:id="35" w:name="estimated-monthly-total"/>
    <w:p>
      <w:pPr>
        <w:pStyle w:val="Heading3"/>
      </w:pPr>
      <w:r>
        <w:t xml:space="preserve">Estimated Monthly Total</w:t>
      </w:r>
    </w:p>
    <w:p>
      <w:pPr>
        <w:pStyle w:val="FirstParagraph"/>
      </w:pPr>
      <w:r>
        <w:t xml:space="preserve">USD:</w:t>
      </w:r>
      <w:r>
        <w:t xml:space="preserve"> </w:t>
      </w:r>
      <w:r>
        <w:t xml:space="preserve">$188-$343/month</w:t>
      </w:r>
    </w:p>
    <w:p>
      <w:pPr>
        <w:pStyle w:val="BodyText"/>
      </w:pPr>
      <w:r>
        <w:t xml:space="preserve">INR:</w:t>
      </w:r>
      <w:r>
        <w:t xml:space="preserve"> </w:t>
      </w:r>
      <w:r>
        <w:t xml:space="preserve">₹16,000-₹29,000/month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hase-1-investment"/>
    <w:p>
      <w:pPr>
        <w:pStyle w:val="Heading1"/>
      </w:pPr>
      <w:r>
        <w:t xml:space="preserve">Phase 1 Investment</w:t>
      </w:r>
    </w:p>
    <w:bookmarkStart w:id="37" w:name="implementation-fee"/>
    <w:p>
      <w:pPr>
        <w:pStyle w:val="Heading2"/>
      </w:pPr>
      <w:r>
        <w:t xml:space="preserve">Implementation Fee</w:t>
      </w:r>
    </w:p>
    <w:p>
      <w:pPr>
        <w:pStyle w:val="FirstParagraph"/>
      </w:pPr>
      <w:r>
        <w:t xml:space="preserve">₹79,000</w:t>
      </w:r>
    </w:p>
    <w:p>
      <w:pPr>
        <w:pStyle w:val="BodyText"/>
      </w:pPr>
      <w:r>
        <w:t xml:space="preserve">Approx. USD $925</w:t>
      </w:r>
    </w:p>
    <w:p>
      <w:pPr>
        <w:pStyle w:val="BodyText"/>
      </w:pPr>
      <w:r>
        <w:t xml:space="preserve">One-Time Project Fee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03"/>
        </w:numPr>
      </w:pPr>
      <w:r>
        <w:t xml:space="preserve">Discovery Sessions</w:t>
      </w:r>
    </w:p>
    <w:p>
      <w:pPr>
        <w:pStyle w:val="Compact"/>
        <w:numPr>
          <w:ilvl w:val="0"/>
          <w:numId w:val="1003"/>
        </w:numPr>
      </w:pPr>
      <w:r>
        <w:t xml:space="preserve">AI Foundation Setup</w:t>
      </w:r>
    </w:p>
    <w:p>
      <w:pPr>
        <w:pStyle w:val="Compact"/>
        <w:numPr>
          <w:ilvl w:val="0"/>
          <w:numId w:val="1003"/>
        </w:numPr>
      </w:pPr>
      <w:r>
        <w:t xml:space="preserve">Lead Sourcing Setup</w:t>
      </w:r>
    </w:p>
    <w:p>
      <w:pPr>
        <w:pStyle w:val="Compact"/>
        <w:numPr>
          <w:ilvl w:val="0"/>
          <w:numId w:val="1003"/>
        </w:numPr>
      </w:pPr>
      <w:r>
        <w:t xml:space="preserve">Lead Qualification Setup</w:t>
      </w:r>
    </w:p>
    <w:p>
      <w:pPr>
        <w:pStyle w:val="Compact"/>
        <w:numPr>
          <w:ilvl w:val="0"/>
          <w:numId w:val="1003"/>
        </w:numPr>
      </w:pPr>
      <w:r>
        <w:t xml:space="preserve">Workflow Configuration</w:t>
      </w:r>
    </w:p>
    <w:p>
      <w:pPr>
        <w:pStyle w:val="Compact"/>
        <w:numPr>
          <w:ilvl w:val="0"/>
          <w:numId w:val="1003"/>
        </w:numPr>
      </w:pPr>
      <w:r>
        <w:t xml:space="preserve">Documentation</w:t>
      </w:r>
    </w:p>
    <w:p>
      <w:pPr>
        <w:pStyle w:val="Compact"/>
        <w:numPr>
          <w:ilvl w:val="0"/>
          <w:numId w:val="1003"/>
        </w:numPr>
      </w:pPr>
      <w:r>
        <w:t xml:space="preserve">Team Enablement Session</w:t>
      </w:r>
    </w:p>
    <w:p>
      <w:pPr>
        <w:pStyle w:val="Compact"/>
        <w:numPr>
          <w:ilvl w:val="0"/>
          <w:numId w:val="1003"/>
        </w:numPr>
      </w:pPr>
      <w:r>
        <w:t xml:space="preserve">Handover Support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commercial-terms"/>
    <w:p>
      <w:pPr>
        <w:pStyle w:val="Heading1"/>
      </w:pPr>
      <w:r>
        <w:t xml:space="preserve">Commercial Terms</w:t>
      </w:r>
    </w:p>
    <w:bookmarkStart w:id="39" w:name="payment-terms"/>
    <w:p>
      <w:pPr>
        <w:pStyle w:val="Heading3"/>
      </w:pPr>
      <w:r>
        <w:t xml:space="preserve">Payment Terms</w:t>
      </w:r>
    </w:p>
    <w:p>
      <w:pPr>
        <w:pStyle w:val="Compact"/>
        <w:numPr>
          <w:ilvl w:val="0"/>
          <w:numId w:val="1004"/>
        </w:numPr>
      </w:pPr>
      <w:r>
        <w:t xml:space="preserve">100% Advance Prior to Project Commencement</w:t>
      </w:r>
    </w:p>
    <w:p>
      <w:pPr>
        <w:pStyle w:val="FirstParagraph"/>
      </w:pPr>
      <w:r>
        <w:t xml:space="preserve">OR</w:t>
      </w:r>
    </w:p>
    <w:p>
      <w:pPr>
        <w:pStyle w:val="Compact"/>
        <w:numPr>
          <w:ilvl w:val="0"/>
          <w:numId w:val="1005"/>
        </w:numPr>
      </w:pPr>
      <w:r>
        <w:t xml:space="preserve">50% Advance</w:t>
      </w:r>
    </w:p>
    <w:p>
      <w:pPr>
        <w:pStyle w:val="Compact"/>
        <w:numPr>
          <w:ilvl w:val="0"/>
          <w:numId w:val="1005"/>
        </w:numPr>
      </w:pPr>
      <w:r>
        <w:t xml:space="preserve">50% Upon Completion of Phase 1</w:t>
      </w:r>
    </w:p>
    <w:p>
      <w:pPr>
        <w:pStyle w:val="FirstParagraph"/>
      </w:pPr>
      <w:r>
        <w:t xml:space="preserve">(To be finalized with the client.)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future-phases"/>
    <w:p>
      <w:pPr>
        <w:pStyle w:val="Heading1"/>
      </w:pPr>
      <w:r>
        <w:t xml:space="preserve">Future Phases</w:t>
      </w:r>
    </w:p>
    <w:p>
      <w:pPr>
        <w:pStyle w:val="FirstParagraph"/>
      </w:pPr>
      <w:r>
        <w:t xml:space="preserve">The Phase 1 investment is intentionally structured as an entry-stage engagement to allow both parties to validate the process, outcomes, and working relationship.</w:t>
      </w:r>
    </w:p>
    <w:p>
      <w:pPr>
        <w:pStyle w:val="BodyText"/>
      </w:pPr>
      <w:r>
        <w:t xml:space="preserve">Upon successful completion of Phase 1, subsequent phases will be scoped and priced separately.</w:t>
      </w:r>
    </w:p>
    <w:p>
      <w:pPr>
        <w:pStyle w:val="BodyText"/>
      </w:pPr>
      <w:r>
        <w:t xml:space="preserve">Future phases may include:</w:t>
      </w:r>
    </w:p>
    <w:bookmarkStart w:id="41" w:name="phase-2"/>
    <w:p>
      <w:pPr>
        <w:pStyle w:val="Heading3"/>
      </w:pPr>
      <w:r>
        <w:t xml:space="preserve">Phase 2</w:t>
      </w:r>
    </w:p>
    <w:p>
      <w:pPr>
        <w:pStyle w:val="FirstParagraph"/>
      </w:pPr>
      <w:r>
        <w:t xml:space="preserve">LinkedIn Outreach Automation</w:t>
      </w:r>
    </w:p>
    <w:bookmarkEnd w:id="41"/>
    <w:bookmarkStart w:id="42" w:name="phase-3"/>
    <w:p>
      <w:pPr>
        <w:pStyle w:val="Heading3"/>
      </w:pPr>
      <w:r>
        <w:t xml:space="preserve">Phase 3</w:t>
      </w:r>
    </w:p>
    <w:p>
      <w:pPr>
        <w:pStyle w:val="FirstParagraph"/>
      </w:pPr>
      <w:r>
        <w:t xml:space="preserve">Email Outreach Automation</w:t>
      </w:r>
    </w:p>
    <w:bookmarkEnd w:id="42"/>
    <w:bookmarkStart w:id="43" w:name="phase-4"/>
    <w:p>
      <w:pPr>
        <w:pStyle w:val="Heading3"/>
      </w:pPr>
      <w:r>
        <w:t xml:space="preserve">Phase 4</w:t>
      </w:r>
    </w:p>
    <w:p>
      <w:pPr>
        <w:pStyle w:val="FirstParagraph"/>
      </w:pPr>
      <w:r>
        <w:t xml:space="preserve">AI-Assisted Response Management</w:t>
      </w:r>
    </w:p>
    <w:bookmarkEnd w:id="43"/>
    <w:bookmarkStart w:id="44" w:name="phase-5"/>
    <w:p>
      <w:pPr>
        <w:pStyle w:val="Heading3"/>
      </w:pPr>
      <w:r>
        <w:t xml:space="preserve">Phase 5</w:t>
      </w:r>
    </w:p>
    <w:p>
      <w:pPr>
        <w:pStyle w:val="FirstParagraph"/>
      </w:pPr>
      <w:r>
        <w:t xml:space="preserve">AI SDR and CRM Automation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ricing-philosophy"/>
    <w:p>
      <w:pPr>
        <w:pStyle w:val="Heading1"/>
      </w:pPr>
      <w:r>
        <w:t xml:space="preserve">Pricing Philosophy</w:t>
      </w:r>
    </w:p>
    <w:p>
      <w:pPr>
        <w:pStyle w:val="FirstParagraph"/>
      </w:pPr>
      <w:r>
        <w:t xml:space="preserve">The pricing for Phase 1 is offered as an implementation-focused engagement intended to establish the foundational systems and generate initial business outcomes.</w:t>
      </w:r>
    </w:p>
    <w:p>
      <w:pPr>
        <w:pStyle w:val="BodyText"/>
      </w:pPr>
      <w:r>
        <w:t xml:space="preserve">Future engagements will be priced based on:</w:t>
      </w:r>
    </w:p>
    <w:p>
      <w:pPr>
        <w:pStyle w:val="Compact"/>
        <w:numPr>
          <w:ilvl w:val="0"/>
          <w:numId w:val="1006"/>
        </w:numPr>
      </w:pPr>
      <w:r>
        <w:t xml:space="preserve">Business impact achieved</w:t>
      </w:r>
    </w:p>
    <w:p>
      <w:pPr>
        <w:pStyle w:val="Compact"/>
        <w:numPr>
          <w:ilvl w:val="0"/>
          <w:numId w:val="1006"/>
        </w:numPr>
      </w:pPr>
      <w:r>
        <w:t xml:space="preserve">Volume of outreach</w:t>
      </w:r>
    </w:p>
    <w:p>
      <w:pPr>
        <w:pStyle w:val="Compact"/>
        <w:numPr>
          <w:ilvl w:val="0"/>
          <w:numId w:val="1006"/>
        </w:numPr>
      </w:pPr>
      <w:r>
        <w:t xml:space="preserve">Complexity of workflows</w:t>
      </w:r>
    </w:p>
    <w:p>
      <w:pPr>
        <w:pStyle w:val="Compact"/>
        <w:numPr>
          <w:ilvl w:val="0"/>
          <w:numId w:val="1006"/>
        </w:numPr>
      </w:pPr>
      <w:r>
        <w:t xml:space="preserve">Automation requirements</w:t>
      </w:r>
    </w:p>
    <w:p>
      <w:pPr>
        <w:pStyle w:val="Compact"/>
        <w:numPr>
          <w:ilvl w:val="0"/>
          <w:numId w:val="1006"/>
        </w:numPr>
      </w:pPr>
      <w:r>
        <w:t xml:space="preserve">Revenue and operational value generated</w:t>
      </w:r>
    </w:p>
    <w:p>
      <w:pPr>
        <w:pStyle w:val="FirstParagraph"/>
      </w:pPr>
      <w:r>
        <w:t xml:space="preserve">As measurable outcomes are established, future phases may transition from implementation-based pricing to value-based pricing models aligned with business results.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2026-06-04T12:01:55Z</dcterms:created>
  <dcterms:modified xsi:type="dcterms:W3CDTF">2026-06-04T12:01:55Z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