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4DA61D1" wp14:textId="77777777">
      <w:pPr>
        <w:jc w:val="center"/>
      </w:pPr>
      <w:r>
        <w:rPr>
          <w:b/>
          <w:bCs/>
          <w:color w:val="1F3864"/>
          <w:sz w:val="40"/>
          <w:szCs w:val="40"/>
        </w:rPr>
        <w:t xml:space="preserve">CLIENT DISCOVERY NOTES</w:t>
      </w:r>
    </w:p>
    <w:p xmlns:wp14="http://schemas.microsoft.com/office/word/2010/wordml" w14:paraId="403DB0C3" wp14:textId="77777777">
      <w:pPr>
        <w:spacing w:after="200"/>
        <w:jc w:val="center"/>
      </w:pPr>
      <w:r>
        <w:rPr>
          <w:color w:val="595959"/>
          <w:sz w:val="26"/>
          <w:szCs w:val="26"/>
        </w:rPr>
        <w:t xml:space="preserve">Marston &amp; Vale — India GCC Feasibility &amp; Operating Model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:rsidTr="5A935C82" w14:paraId="7299AFD4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F0E4" wp14:textId="77777777"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6B3B" wp14:textId="44D565AF">
            <w:r w:rsidRPr="5A935C82" w:rsidR="5A935C82">
              <w:rPr>
                <w:sz w:val="20"/>
                <w:szCs w:val="20"/>
              </w:rPr>
              <w:t>ANSR Lead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4A1E" wp14:textId="77777777"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AD14" wp14:textId="77777777">
            <w:r>
              <w:rPr>
                <w:sz w:val="20"/>
                <w:szCs w:val="20"/>
              </w:rPr>
              <w:t xml:space="preserve">v1.2 — Aug 18, 2026</w:t>
            </w:r>
          </w:p>
        </w:tc>
      </w:tr>
      <w:tr xmlns:wp14="http://schemas.microsoft.com/office/word/2010/wordml" w:rsidTr="5A935C82" w14:paraId="2981A720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DD87" wp14:textId="77777777">
            <w:r>
              <w:rPr>
                <w:b/>
                <w:bCs/>
                <w:sz w:val="20"/>
                <w:szCs w:val="20"/>
              </w:rPr>
              <w:t xml:space="preserve">Client Sponsor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EC55" wp14:textId="77777777">
            <w:r>
              <w:rPr>
                <w:sz w:val="20"/>
                <w:szCs w:val="20"/>
              </w:rPr>
              <w:t xml:space="preserve">Helena Ashcroft (CFO)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BFDD" wp14:textId="77777777"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39A4" wp14:textId="77777777">
            <w:r>
              <w:rPr>
                <w:sz w:val="20"/>
                <w:szCs w:val="20"/>
              </w:rPr>
              <w:t xml:space="preserve">Post-kickoff / pre-primary research</w:t>
            </w:r>
          </w:p>
        </w:tc>
      </w:tr>
    </w:tbl>
    <w:p xmlns:wp14="http://schemas.microsoft.com/office/word/2010/wordml" w14:paraId="35619736" wp14:textId="77777777">
      <w:pPr>
        <w:pStyle w:val="Heading1"/>
      </w:pPr>
      <w:r>
        <w:t xml:space="preserve">1. Client Background</w:t>
      </w:r>
    </w:p>
    <w:p xmlns:wp14="http://schemas.microsoft.com/office/word/2010/wordml" w14:paraId="5DCBBFD5" wp14:textId="77777777">
      <w:pPr>
        <w:spacing w:after="100"/>
      </w:pPr>
      <w:r w:rsidRPr="5A935C82" w:rsidR="5A935C82">
        <w:rPr>
          <w:sz w:val="22"/>
          <w:szCs w:val="22"/>
          <w:lang w:val="en-US"/>
        </w:rPr>
        <w:t>Marston &amp; Vale (M&amp;V) is a UK-headquartered specialty retail &amp; consumer lifestyle group operating across UK, Ireland, DACH and the Nordics. Approx. GBP 2.2B (~USD 2.8B) FY26 revenue, ~11,400 employees globally. Public on LSE. Legacy tech + ops footprint concentrated in Bracknell (UK) and Cork (IE). No India presence today.</w:t>
      </w:r>
    </w:p>
    <w:p xmlns:wp14="http://schemas.microsoft.com/office/word/2010/wordml" w14:paraId="50AFB472" wp14:textId="77777777">
      <w:pPr>
        <w:spacing w:after="100"/>
      </w:pPr>
      <w:r w:rsidRPr="5A935C82" w:rsidR="5A935C82">
        <w:rPr>
          <w:sz w:val="22"/>
          <w:szCs w:val="22"/>
          <w:lang w:val="en-US"/>
        </w:rPr>
        <w:t>Trigger for the GCC conversation: (i) a Board-level cost review flagged that COO functions are running 18–22% higher than retail peers, (ii) three of their largest competitors (John Lewis, M&amp;S, Kingfisher) have publicly disclosed India GCC scale-up plans, and (iii) internal Tech modernization program has stalled because of hiring gaps in the UK — especially for Data Engineering, ML Ops and Cloud Security.</w:t>
      </w:r>
    </w:p>
    <w:p xmlns:wp14="http://schemas.microsoft.com/office/word/2010/wordml" w14:paraId="322938C7" wp14:textId="77777777">
      <w:pPr>
        <w:pStyle w:val="Heading1"/>
      </w:pPr>
      <w:r w:rsidRPr="5A935C82" w:rsidR="5A935C82">
        <w:rPr>
          <w:lang w:val="en-US"/>
        </w:rPr>
        <w:t>2. Client Objectives (as stated in kickoff)</w:t>
      </w:r>
    </w:p>
    <w:p xmlns:wp14="http://schemas.microsoft.com/office/word/2010/wordml" w14:paraId="7DEABD0C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Establish a fully-owned India GCC within 9–12 months of Board approval.</w:t>
      </w:r>
    </w:p>
    <w:p xmlns:wp14="http://schemas.microsoft.com/office/word/2010/wordml" w14:paraId="3BBC50B0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Target 600–800 FTE steady-state by end of Year 3, initially anchored around Technology &amp; Analytics (~55%), Finance Ops (~20%), HR Ops (~10%), Customer Support (~15%).</w:t>
      </w:r>
    </w:p>
    <w:p xmlns:wp14="http://schemas.microsoft.com/office/word/2010/wordml" w14:paraId="112D07D0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Deliver 35–45% total cost-to-serve reduction vs. UK/IE equivalent by Year 3.</w:t>
      </w:r>
    </w:p>
    <w:p xmlns:wp14="http://schemas.microsoft.com/office/word/2010/wordml" w14:paraId="054DBA72" wp14:textId="77777777">
      <w:pPr>
        <w:pStyle w:val="ListParagraph"/>
        <w:numPr>
          <w:ilvl w:val="0"/>
          <w:numId w:val="2"/>
        </w:numPr>
        <w:rPr/>
      </w:pPr>
      <w:r w:rsidRPr="5A935C82" w:rsidR="5A935C82">
        <w:rPr>
          <w:sz w:val="22"/>
          <w:szCs w:val="22"/>
          <w:lang w:val="en-US"/>
        </w:rPr>
        <w:t>Build a genuine capability center — not a pure cost arbitrage back office. Board is explicit that this must include product engineering, data science and analytics CoE.</w:t>
      </w:r>
    </w:p>
    <w:p xmlns:wp14="http://schemas.microsoft.com/office/word/2010/wordml" w14:paraId="70D22A01" wp14:textId="77777777">
      <w:pPr>
        <w:pStyle w:val="ListParagraph"/>
        <w:numPr>
          <w:ilvl w:val="0"/>
          <w:numId w:val="2"/>
        </w:numPr>
        <w:rPr/>
      </w:pPr>
      <w:r w:rsidRPr="5A935C82" w:rsidR="5A935C82">
        <w:rPr>
          <w:sz w:val="22"/>
          <w:szCs w:val="22"/>
          <w:lang w:val="en-US"/>
        </w:rPr>
        <w:t>De-risk single-location dependency on Bracknell; establish follow-the-sun coverage for Tier-1 support.</w:t>
      </w:r>
    </w:p>
    <w:p xmlns:wp14="http://schemas.microsoft.com/office/word/2010/wordml" w14:paraId="794B0A0A" wp14:textId="77777777">
      <w:pPr>
        <w:pStyle w:val="Heading1"/>
      </w:pPr>
      <w:r>
        <w:t xml:space="preserve">3. Consultant's Working Hypothesis</w:t>
      </w:r>
    </w:p>
    <w:p xmlns:wp14="http://schemas.microsoft.com/office/word/2010/wordml" w14:paraId="6A66604F" wp14:textId="77777777">
      <w:pPr>
        <w:spacing w:after="100"/>
      </w:pPr>
      <w:r w:rsidRPr="5A935C82" w:rsidR="5A935C82">
        <w:rPr>
          <w:sz w:val="22"/>
          <w:szCs w:val="22"/>
          <w:lang w:val="en-US"/>
        </w:rPr>
        <w:t>Bengaluru is the emerging front-runner on talent depth (esp. Data &amp; Cloud), but Hyderabad has become materially cheaper on infra and shows lower Tech attrition in the last 18 months. Pune is a strong dark-horse for Finance Ops + a subset of Tech — CoE clusters around Hinjewadi. My hypothesis is a primary hub (Bengaluru) + a smaller Tier-2 spoke by Year 3, rather than a single-site model.</w:t>
      </w:r>
    </w:p>
    <w:p xmlns:wp14="http://schemas.microsoft.com/office/word/2010/wordml" w14:paraId="6C30F623" wp14:textId="77777777">
      <w:pPr>
        <w:spacing w:after="100"/>
      </w:pPr>
      <w:r w:rsidRPr="5A935C82" w:rsidR="5A935C82">
        <w:rPr>
          <w:sz w:val="22"/>
          <w:szCs w:val="22"/>
          <w:lang w:val="en-US"/>
        </w:rPr>
        <w:t>Operating model: Matrix (global function heads + local site leader). M&amp;V's current governance is very UK-centric; if they don't invest in a strong site leader early, the GCC will get positioned as a captive back-office and struggle to attract senior product/engineering talent.</w:t>
      </w:r>
    </w:p>
    <w:p xmlns:wp14="http://schemas.microsoft.com/office/word/2010/wordml" w14:paraId="17FF424F" wp14:textId="77777777">
      <w:pPr>
        <w:pStyle w:val="Heading1"/>
      </w:pPr>
      <w:r>
        <w:t xml:space="preserve">4. Key Constraints &amp; Watchouts</w:t>
      </w:r>
    </w:p>
    <w:p xmlns:wp14="http://schemas.microsoft.com/office/word/2010/wordml" w14:paraId="5D84A37D" wp14:textId="77777777">
      <w:pPr>
        <w:pStyle w:val="ListParagraph"/>
        <w:numPr>
          <w:ilvl w:val="0"/>
          <w:numId w:val="2"/>
        </w:numPr>
        <w:rPr/>
      </w:pPr>
      <w:r w:rsidRPr="5A935C82" w:rsidR="5A935C82">
        <w:rPr>
          <w:sz w:val="22"/>
          <w:szCs w:val="22"/>
          <w:lang w:val="en-US"/>
        </w:rPr>
        <w:t>Timeline: CFO wants a fast entity setup — she flagged Nov 2026 Board approval and 'boots on the ground by Feb 2027'. This effectively rules out anything requiring a new SEZ approval; we should push GIFT City or established IT parks with ready-to-move space.</w:t>
      </w:r>
    </w:p>
    <w:p xmlns:wp14="http://schemas.microsoft.com/office/word/2010/wordml" w14:paraId="53A43462" wp14:textId="77777777">
      <w:pPr>
        <w:pStyle w:val="ListParagraph"/>
        <w:numPr>
          <w:ilvl w:val="0"/>
          <w:numId w:val="2"/>
        </w:numPr>
        <w:rPr/>
      </w:pPr>
      <w:r w:rsidRPr="5A935C82" w:rsidR="5A935C82">
        <w:rPr>
          <w:sz w:val="22"/>
          <w:szCs w:val="22"/>
          <w:lang w:val="en-US"/>
        </w:rPr>
        <w:t>Compliance appetite: M&amp;V's legal team is very conservative (post-Brexit trauma). They will resist anything that looks like a PE (permanent establishment) risk. Recommend GCC as a wholly-owned Indian subsidiary (Pvt Ltd), not a branch office.</w:t>
      </w:r>
    </w:p>
    <w:p xmlns:wp14="http://schemas.microsoft.com/office/word/2010/wordml" w14:paraId="0C3BF53A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Culture: CHRO (David Okafor) is anxious about UK job losses. Political framing internally will be 'capability build' not 'offshoring'. This affects how we structure the talent narrative in the deck.</w:t>
      </w:r>
    </w:p>
    <w:p xmlns:wp14="http://schemas.microsoft.com/office/word/2010/wordml" w14:paraId="5ED66122" wp14:textId="77777777">
      <w:pPr>
        <w:pStyle w:val="ListParagraph"/>
        <w:numPr>
          <w:ilvl w:val="0"/>
          <w:numId w:val="2"/>
        </w:numPr>
        <w:rPr/>
      </w:pPr>
      <w:r w:rsidRPr="5A935C82" w:rsidR="5A935C82">
        <w:rPr>
          <w:sz w:val="22"/>
          <w:szCs w:val="22"/>
          <w:lang w:val="en-US"/>
        </w:rPr>
        <w:t>Data residency: Some customer support workflows involve UK/EU PII. GDPR + UK DPA implications — needs sign-off from their DPO before we finalize the CS scope.</w:t>
      </w:r>
    </w:p>
    <w:p xmlns:wp14="http://schemas.microsoft.com/office/word/2010/wordml" w14:paraId="6EED4FBE" wp14:textId="77777777">
      <w:pPr>
        <w:pStyle w:val="Heading1"/>
      </w:pPr>
      <w:r w:rsidRPr="5A935C82" w:rsidR="5A935C82">
        <w:rPr>
          <w:lang w:val="en-US"/>
        </w:rPr>
        <w:t>5. Initial Talent Read (to validate in primary research)</w:t>
      </w:r>
    </w:p>
    <w:p xmlns:wp14="http://schemas.microsoft.com/office/word/2010/wordml" w14:paraId="7C28C9F4" wp14:textId="77777777">
      <w:pPr>
        <w:spacing w:after="100"/>
      </w:pPr>
      <w:r>
        <w:rPr>
          <w:sz w:val="22"/>
          <w:szCs w:val="22"/>
        </w:rPr>
        <w:t xml:space="preserve">Directional view before we run the benchmark: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:rsidTr="5A935C82" w14:paraId="67F11BD5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67BC" wp14:textId="77777777"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096E" wp14:textId="77777777">
            <w:r>
              <w:rPr>
                <w:b/>
                <w:bCs/>
                <w:sz w:val="20"/>
                <w:szCs w:val="20"/>
              </w:rPr>
              <w:t xml:space="preserve">Talent depth (India)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E9BC" wp14:textId="77777777">
            <w:r>
              <w:rPr>
                <w:b/>
                <w:bCs/>
                <w:sz w:val="20"/>
                <w:szCs w:val="20"/>
              </w:rPr>
              <w:t xml:space="preserve">Cost delta vs UK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828D" wp14:textId="77777777">
            <w:r>
              <w:rPr>
                <w:b/>
                <w:bCs/>
                <w:sz w:val="20"/>
                <w:szCs w:val="20"/>
              </w:rPr>
              <w:t xml:space="preserve">Preferred city (draft)</w:t>
            </w:r>
          </w:p>
        </w:tc>
      </w:tr>
      <w:tr xmlns:wp14="http://schemas.microsoft.com/office/word/2010/wordml" w:rsidTr="5A935C82" w14:paraId="3A87F72A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68B8" wp14:textId="77777777">
            <w:r>
              <w:rPr>
                <w:sz w:val="20"/>
                <w:szCs w:val="20"/>
              </w:rPr>
              <w:t xml:space="preserve">Product &amp; Platform Eng.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2530" wp14:textId="77777777">
            <w:r w:rsidRPr="5A935C82" w:rsidR="5A935C82">
              <w:rPr>
                <w:sz w:val="20"/>
                <w:szCs w:val="20"/>
                <w:lang w:val="en-US"/>
              </w:rPr>
              <w:t>Very deep — Blr/Hyd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C0C1" wp14:textId="77777777">
            <w:r>
              <w:rPr>
                <w:sz w:val="20"/>
                <w:szCs w:val="20"/>
              </w:rPr>
              <w:t xml:space="preserve">~65–70% saving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A46B" wp14:textId="77777777">
            <w:r>
              <w:rPr>
                <w:sz w:val="20"/>
                <w:szCs w:val="20"/>
              </w:rPr>
              <w:t xml:space="preserve">Bengaluru</w:t>
            </w:r>
          </w:p>
        </w:tc>
      </w:tr>
      <w:tr xmlns:wp14="http://schemas.microsoft.com/office/word/2010/wordml" w:rsidTr="5A935C82" w14:paraId="28FE81B6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EC35" wp14:textId="77777777">
            <w:r>
              <w:rPr>
                <w:sz w:val="20"/>
                <w:szCs w:val="20"/>
              </w:rPr>
              <w:t xml:space="preserve">Data / ML / Analytics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F45E" wp14:textId="77777777">
            <w:r w:rsidRPr="5A935C82" w:rsidR="5A935C82">
              <w:rPr>
                <w:sz w:val="20"/>
                <w:szCs w:val="20"/>
                <w:lang w:val="en-US"/>
              </w:rPr>
              <w:t>Deep — Blr strongest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F34E" wp14:textId="77777777">
            <w:r>
              <w:rPr>
                <w:sz w:val="20"/>
                <w:szCs w:val="20"/>
              </w:rPr>
              <w:t xml:space="preserve">~60% saving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6840" wp14:textId="77777777">
            <w:r>
              <w:rPr>
                <w:sz w:val="20"/>
                <w:szCs w:val="20"/>
              </w:rPr>
              <w:t xml:space="preserve">Bengaluru</w:t>
            </w:r>
          </w:p>
        </w:tc>
      </w:tr>
      <w:tr xmlns:wp14="http://schemas.microsoft.com/office/word/2010/wordml" w:rsidTr="5A935C82" w14:paraId="74143956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B0CB" wp14:textId="77777777">
            <w:r>
              <w:rPr>
                <w:sz w:val="20"/>
                <w:szCs w:val="20"/>
              </w:rPr>
              <w:t xml:space="preserve">Cloud &amp; Cybersecurity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F61F" wp14:textId="77777777">
            <w:r>
              <w:rPr>
                <w:sz w:val="20"/>
                <w:szCs w:val="20"/>
              </w:rPr>
              <w:t xml:space="preserve">Tight supply, growing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1048" wp14:textId="77777777">
            <w:r>
              <w:rPr>
                <w:sz w:val="20"/>
                <w:szCs w:val="20"/>
              </w:rPr>
              <w:t xml:space="preserve">~55% saving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3118" wp14:textId="77777777">
            <w:r w:rsidRPr="5A935C82" w:rsidR="5A935C82">
              <w:rPr>
                <w:sz w:val="20"/>
                <w:szCs w:val="20"/>
                <w:lang w:val="en-US"/>
              </w:rPr>
              <w:t>Bengaluru / Hyd</w:t>
            </w:r>
          </w:p>
        </w:tc>
      </w:tr>
      <w:tr xmlns:wp14="http://schemas.microsoft.com/office/word/2010/wordml" w:rsidTr="5A935C82" w14:paraId="30B8D4F3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B774" wp14:textId="77777777">
            <w:r>
              <w:rPr>
                <w:sz w:val="20"/>
                <w:szCs w:val="20"/>
              </w:rPr>
              <w:t xml:space="preserve">Finance Ops (R2R, P2P, O2C)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0F87" wp14:textId="77777777">
            <w:r>
              <w:rPr>
                <w:sz w:val="20"/>
                <w:szCs w:val="20"/>
              </w:rPr>
              <w:t xml:space="preserve">Very deep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40DF" wp14:textId="77777777">
            <w:r>
              <w:rPr>
                <w:sz w:val="20"/>
                <w:szCs w:val="20"/>
              </w:rPr>
              <w:t xml:space="preserve">~70% saving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EC85" wp14:textId="77777777">
            <w:r>
              <w:rPr>
                <w:sz w:val="20"/>
                <w:szCs w:val="20"/>
              </w:rPr>
              <w:t xml:space="preserve">Pune / Hyderabad</w:t>
            </w:r>
          </w:p>
        </w:tc>
      </w:tr>
      <w:tr xmlns:wp14="http://schemas.microsoft.com/office/word/2010/wordml" w:rsidTr="5A935C82" w14:paraId="4D221E2E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7A5C" wp14:textId="77777777">
            <w:r>
              <w:rPr>
                <w:sz w:val="20"/>
                <w:szCs w:val="20"/>
              </w:rPr>
              <w:t xml:space="preserve">HR Ops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6B79" wp14:textId="77777777">
            <w:r>
              <w:rPr>
                <w:sz w:val="20"/>
                <w:szCs w:val="20"/>
              </w:rPr>
              <w:t xml:space="preserve">Deep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1580" wp14:textId="77777777">
            <w:r>
              <w:rPr>
                <w:sz w:val="20"/>
                <w:szCs w:val="20"/>
              </w:rPr>
              <w:t xml:space="preserve">~65% saving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A6E2" wp14:textId="77777777">
            <w:r>
              <w:rPr>
                <w:sz w:val="20"/>
                <w:szCs w:val="20"/>
              </w:rPr>
              <w:t xml:space="preserve">Any of the 3</w:t>
            </w:r>
          </w:p>
        </w:tc>
      </w:tr>
      <w:tr xmlns:wp14="http://schemas.microsoft.com/office/word/2010/wordml" w:rsidTr="5A935C82" w14:paraId="687ED515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7D7C" wp14:textId="77777777">
            <w:r w:rsidRPr="5A935C82" w:rsidR="5A935C82">
              <w:rPr>
                <w:sz w:val="20"/>
                <w:szCs w:val="20"/>
                <w:lang w:val="en-US"/>
              </w:rPr>
              <w:t>Customer Support (voice+chat, EN)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4723" wp14:textId="77777777">
            <w:r>
              <w:rPr>
                <w:sz w:val="20"/>
                <w:szCs w:val="20"/>
              </w:rPr>
              <w:t xml:space="preserve">Very deep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E397" wp14:textId="77777777">
            <w:r>
              <w:rPr>
                <w:sz w:val="20"/>
                <w:szCs w:val="20"/>
              </w:rPr>
              <w:t xml:space="preserve">~70% saving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0287" wp14:textId="77777777">
            <w:r w:rsidRPr="5A935C82" w:rsidR="5A935C82">
              <w:rPr>
                <w:sz w:val="20"/>
                <w:szCs w:val="20"/>
                <w:lang w:val="en-US"/>
              </w:rPr>
              <w:t>Hyd / Pune</w:t>
            </w:r>
          </w:p>
        </w:tc>
      </w:tr>
    </w:tbl>
    <w:p xmlns:wp14="http://schemas.microsoft.com/office/word/2010/wordml" w14:paraId="6593ECAE" wp14:textId="77777777">
      <w:pPr>
        <w:pStyle w:val="Heading1"/>
      </w:pPr>
      <w:r>
        <w:t xml:space="preserve">6. Experience Mix — Consultant Recommendation (draft)</w:t>
      </w:r>
    </w:p>
    <w:p xmlns:wp14="http://schemas.microsoft.com/office/word/2010/wordml" w14:paraId="3B93432A" wp14:textId="77777777">
      <w:pPr>
        <w:spacing w:after="100"/>
      </w:pPr>
      <w:r w:rsidRPr="5A935C82" w:rsidR="5A935C82">
        <w:rPr>
          <w:sz w:val="22"/>
          <w:szCs w:val="22"/>
          <w:lang w:val="en-US"/>
        </w:rPr>
        <w:t>M&amp;V's instinct in the kickoff was a very junior pyramid (0–3 yrs heavy). I'll push back on this in the recommendation. For a genuine capability center — especially given the product engineering ambition — we need a heavier mid-senior layer at least in Years 1–2 to establish credibility with UK counterparts. Suggested target mix:</w:t>
      </w:r>
    </w:p>
    <w:p xmlns:wp14="http://schemas.microsoft.com/office/word/2010/wordml" w14:paraId="6D3691EB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Junior (0–3 yrs): 45% (down from client's instinct of ~65%)</w:t>
      </w:r>
    </w:p>
    <w:p xmlns:wp14="http://schemas.microsoft.com/office/word/2010/wordml" w14:paraId="2D97B9E2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Mid (4–8 yrs): 35%</w:t>
      </w:r>
    </w:p>
    <w:p xmlns:wp14="http://schemas.microsoft.com/office/word/2010/wordml" w14:paraId="5BFB25C3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Senior (9–14 yrs): 15%</w:t>
      </w:r>
    </w:p>
    <w:p xmlns:wp14="http://schemas.microsoft.com/office/word/2010/wordml" w14:paraId="5CB4656E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Leadership (15+ yrs): 5% — including the Site Leader, function heads, and 2–3 principal engineers</w:t>
      </w:r>
    </w:p>
    <w:p xmlns:wp14="http://schemas.microsoft.com/office/word/2010/wordml" w14:paraId="61535677" wp14:textId="77777777">
      <w:pPr>
        <w:pStyle w:val="Heading1"/>
      </w:pPr>
      <w:r>
        <w:t xml:space="preserve">7. Location Filter — First Pass</w:t>
      </w:r>
    </w:p>
    <w:p xmlns:wp14="http://schemas.microsoft.com/office/word/2010/wordml" w14:paraId="4FF93947" wp14:textId="77777777">
      <w:pPr>
        <w:spacing w:after="100"/>
      </w:pPr>
      <w:r w:rsidRPr="5A935C82" w:rsidR="5A935C82">
        <w:rPr>
          <w:sz w:val="22"/>
          <w:szCs w:val="22"/>
          <w:lang w:val="en-US"/>
        </w:rPr>
        <w:t>I'm shortlisting 3 cities for detailed benchmarking:</w:t>
      </w:r>
    </w:p>
    <w:p xmlns:wp14="http://schemas.microsoft.com/office/word/2010/wordml" w14:paraId="13B14E7E" wp14:textId="77777777">
      <w:pPr>
        <w:pStyle w:val="ListParagraph"/>
        <w:numPr>
          <w:ilvl w:val="0"/>
          <w:numId w:val="2"/>
        </w:numPr>
        <w:rPr/>
      </w:pPr>
      <w:r w:rsidRPr="5A935C82" w:rsidR="5A935C82">
        <w:rPr>
          <w:sz w:val="22"/>
          <w:szCs w:val="22"/>
          <w:lang w:val="en-US"/>
        </w:rPr>
        <w:t>Bengaluru — deepest talent, highest cost, longest lead-time on Grade A space (12–16 weeks for a good stack in ORR/Whitefield).</w:t>
      </w:r>
    </w:p>
    <w:p xmlns:wp14="http://schemas.microsoft.com/office/word/2010/wordml" w14:paraId="5EB86063" wp14:textId="77777777">
      <w:pPr>
        <w:pStyle w:val="ListParagraph"/>
        <w:numPr>
          <w:ilvl w:val="0"/>
          <w:numId w:val="2"/>
        </w:numPr>
        <w:rPr/>
      </w:pPr>
      <w:r w:rsidRPr="5A935C82" w:rsidR="5A935C82">
        <w:rPr>
          <w:sz w:val="22"/>
          <w:szCs w:val="22"/>
          <w:lang w:val="en-US"/>
        </w:rPr>
        <w:t>Hyderabad — strong Tech + Ops talent, materially cheaper space (INR 65–75/sqft vs INR 105–120 in Blr ORR), state government very GCC-friendly (single-window clearance in ~30 days).</w:t>
      </w:r>
    </w:p>
    <w:p xmlns:wp14="http://schemas.microsoft.com/office/word/2010/wordml" w14:paraId="16E25372" wp14:textId="77777777">
      <w:pPr>
        <w:pStyle w:val="ListParagraph"/>
        <w:numPr>
          <w:ilvl w:val="0"/>
          <w:numId w:val="2"/>
        </w:numPr>
        <w:rPr/>
      </w:pPr>
      <w:r w:rsidRPr="5A935C82" w:rsidR="5A935C82">
        <w:rPr>
          <w:sz w:val="22"/>
          <w:szCs w:val="22"/>
          <w:lang w:val="en-US"/>
        </w:rPr>
        <w:t>Pune — best-in-class Finance Ops talent, lower attrition than Blr/Hyd, but Tech leadership pool is thinner.</w:t>
      </w:r>
    </w:p>
    <w:p xmlns:wp14="http://schemas.microsoft.com/office/word/2010/wordml" w14:paraId="021E4A27" wp14:textId="77777777">
      <w:pPr>
        <w:spacing w:after="100"/>
      </w:pPr>
      <w:r>
        <w:rPr>
          <w:sz w:val="22"/>
          <w:szCs w:val="22"/>
        </w:rPr>
        <w:t xml:space="preserve">I'm de-prioritizing Chennai (talent tighter than reputation suggests for our use cases), Gurugram/Noida (attrition too high — 19–22% in recent ANSR dataset), and GIFT City (too early for a first-time entrant of M&amp;V's profile — great for BFSI, less proven for retail GCC).</w:t>
      </w:r>
    </w:p>
    <w:p xmlns:wp14="http://schemas.microsoft.com/office/word/2010/wordml" w14:paraId="47767C89" wp14:textId="77777777">
      <w:pPr>
        <w:pStyle w:val="Heading1"/>
      </w:pPr>
      <w:r>
        <w:t xml:space="preserve">8. Operating Cost — Initial Framing</w:t>
      </w:r>
    </w:p>
    <w:p xmlns:wp14="http://schemas.microsoft.com/office/word/2010/wordml" w14:paraId="7D6E16E9" wp14:textId="77777777">
      <w:pPr>
        <w:spacing w:after="100"/>
      </w:pPr>
      <w:r>
        <w:rPr>
          <w:sz w:val="22"/>
          <w:szCs w:val="22"/>
        </w:rPr>
        <w:t xml:space="preserve">Three cost blocks that will drive the recommendation:</w:t>
      </w:r>
    </w:p>
    <w:p xmlns:wp14="http://schemas.microsoft.com/office/word/2010/wordml" w14:paraId="21E23EC2" wp14:textId="77777777">
      <w:pPr>
        <w:pStyle w:val="ListParagraph"/>
        <w:numPr>
          <w:ilvl w:val="0"/>
          <w:numId w:val="2"/>
        </w:numPr>
        <w:rPr/>
      </w:pPr>
      <w:r w:rsidRPr="5A935C82" w:rsidR="5A935C82">
        <w:rPr>
          <w:sz w:val="22"/>
          <w:szCs w:val="22"/>
          <w:lang w:val="en-US"/>
        </w:rPr>
        <w:t>Core Talent Cost — dominant driver (~70–75% of run-rate opex). Salary + benefits + variable pay.</w:t>
      </w:r>
    </w:p>
    <w:p xmlns:wp14="http://schemas.microsoft.com/office/word/2010/wordml" w14:paraId="69CC0119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Infra &amp; Facilities — real estate, fit-out amortization, utilities, transport, F&amp;B. ~12–15% of run-rate.</w:t>
      </w:r>
    </w:p>
    <w:p xmlns:wp14="http://schemas.microsoft.com/office/word/2010/wordml" w14:paraId="45904578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Back-Office / Enabling Functions — HR Ops, Finance Ops, IT support, Admin, TA. Rule-of-thumb ratios I typically model: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5A935C82" w14:paraId="5ED8702A" wp14:textId="77777777"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4FCB" wp14:textId="77777777">
            <w:r>
              <w:rPr>
                <w:b/>
                <w:bCs/>
                <w:sz w:val="20"/>
                <w:szCs w:val="20"/>
              </w:rPr>
              <w:t xml:space="preserve">Enabling Function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3DAE" wp14:textId="77777777">
            <w:r w:rsidRPr="5A935C82" w:rsidR="5A935C82">
              <w:rPr>
                <w:b w:val="1"/>
                <w:bCs w:val="1"/>
                <w:sz w:val="20"/>
                <w:szCs w:val="20"/>
                <w:lang w:val="en-US"/>
              </w:rPr>
              <w:t>Ratio (Enabler : Core FTE)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6E3C" wp14:textId="77777777"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 xmlns:wp14="http://schemas.microsoft.com/office/word/2010/wordml" w:rsidTr="5A935C82" w14:paraId="5C3AC9CF" wp14:textId="77777777"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ED92" wp14:textId="77777777">
            <w:r>
              <w:rPr>
                <w:sz w:val="20"/>
                <w:szCs w:val="20"/>
              </w:rPr>
              <w:t xml:space="preserve">HR Ops (generalist + TA)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552C" wp14:textId="77777777">
            <w:r w:rsidRPr="5A935C82" w:rsidR="5A935C82">
              <w:rPr>
                <w:sz w:val="20"/>
                <w:szCs w:val="20"/>
                <w:lang w:val="en-US"/>
              </w:rPr>
              <w:t>1 : 25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C3DE" wp14:textId="77777777">
            <w:r>
              <w:rPr>
                <w:sz w:val="20"/>
                <w:szCs w:val="20"/>
              </w:rPr>
              <w:t xml:space="preserve">Higher (1:20) in ramp-up years</w:t>
            </w:r>
          </w:p>
        </w:tc>
      </w:tr>
      <w:tr xmlns:wp14="http://schemas.microsoft.com/office/word/2010/wordml" w:rsidTr="5A935C82" w14:paraId="6AD0E6BF" wp14:textId="77777777"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2170" wp14:textId="77777777">
            <w:r>
              <w:rPr>
                <w:sz w:val="20"/>
                <w:szCs w:val="20"/>
              </w:rPr>
              <w:t xml:space="preserve">Finance Ops (AP, GL, controllership)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6146" wp14:textId="77777777">
            <w:r w:rsidRPr="5A935C82" w:rsidR="5A935C82">
              <w:rPr>
                <w:sz w:val="20"/>
                <w:szCs w:val="20"/>
                <w:lang w:val="en-US"/>
              </w:rPr>
              <w:t>1 : 40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3828" wp14:textId="77777777">
            <w:r>
              <w:rPr>
                <w:sz w:val="20"/>
                <w:szCs w:val="20"/>
              </w:rPr>
              <w:t xml:space="preserve">Reduces with automation</w:t>
            </w:r>
          </w:p>
        </w:tc>
      </w:tr>
      <w:tr xmlns:wp14="http://schemas.microsoft.com/office/word/2010/wordml" w:rsidTr="5A935C82" w14:paraId="2EFFE65B" wp14:textId="77777777"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0E38" wp14:textId="77777777">
            <w:r w:rsidRPr="5A935C82" w:rsidR="5A935C82">
              <w:rPr>
                <w:sz w:val="20"/>
                <w:szCs w:val="20"/>
                <w:lang w:val="en-US"/>
              </w:rPr>
              <w:t>IT Support / DevEx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3343" wp14:textId="77777777">
            <w:r w:rsidRPr="5A935C82" w:rsidR="5A935C82">
              <w:rPr>
                <w:sz w:val="20"/>
                <w:szCs w:val="20"/>
                <w:lang w:val="en-US"/>
              </w:rPr>
              <w:t>1 : 75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E6BA" wp14:textId="77777777">
            <w:r>
              <w:rPr>
                <w:sz w:val="20"/>
                <w:szCs w:val="20"/>
              </w:rPr>
              <w:t xml:space="preserve">Blend of onsite + managed</w:t>
            </w:r>
          </w:p>
        </w:tc>
      </w:tr>
      <w:tr xmlns:wp14="http://schemas.microsoft.com/office/word/2010/wordml" w:rsidTr="5A935C82" w14:paraId="0793550D" wp14:textId="77777777"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C81E" wp14:textId="77777777">
            <w:r>
              <w:rPr>
                <w:sz w:val="20"/>
                <w:szCs w:val="20"/>
              </w:rPr>
              <w:t xml:space="preserve">Facilities / Admin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A2C6" wp14:textId="77777777">
            <w:r w:rsidRPr="5A935C82" w:rsidR="5A935C82">
              <w:rPr>
                <w:sz w:val="20"/>
                <w:szCs w:val="20"/>
                <w:lang w:val="en-US"/>
              </w:rPr>
              <w:t>1 : 100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3B87" wp14:textId="77777777">
            <w:r>
              <w:rPr>
                <w:sz w:val="20"/>
                <w:szCs w:val="20"/>
              </w:rPr>
              <w:t xml:space="preserve">Mostly managed vendor</w:t>
            </w:r>
          </w:p>
        </w:tc>
      </w:tr>
      <w:tr xmlns:wp14="http://schemas.microsoft.com/office/word/2010/wordml" w:rsidTr="5A935C82" w14:paraId="5787348A" wp14:textId="77777777"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739A" wp14:textId="77777777">
            <w:r>
              <w:rPr>
                <w:sz w:val="20"/>
                <w:szCs w:val="20"/>
              </w:rPr>
              <w:t xml:space="preserve">Site Leadership + PMO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B281" wp14:textId="77777777">
            <w:r w:rsidRPr="5A935C82" w:rsidR="5A935C82">
              <w:rPr>
                <w:sz w:val="20"/>
                <w:szCs w:val="20"/>
                <w:lang w:val="en-US"/>
              </w:rPr>
              <w:t>1 : 60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4035C" wp14:textId="77777777">
            <w:r w:rsidRPr="5A935C82" w:rsidR="5A935C82">
              <w:rPr>
                <w:sz w:val="20"/>
                <w:szCs w:val="20"/>
                <w:lang w:val="en-US"/>
              </w:rPr>
              <w:t>Includes CoS, program mgmt</w:t>
            </w:r>
          </w:p>
        </w:tc>
      </w:tr>
    </w:tbl>
    <w:p xmlns:wp14="http://schemas.microsoft.com/office/word/2010/wordml" w14:paraId="7AF720DF" wp14:textId="77777777">
      <w:pPr>
        <w:pStyle w:val="Heading1"/>
      </w:pPr>
      <w:r>
        <w:t xml:space="preserve">9. Open Questions to Close Before Recommendation</w:t>
      </w:r>
    </w:p>
    <w:p xmlns:wp14="http://schemas.microsoft.com/office/word/2010/wordml" w14:paraId="2EC0EFA3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 3-year headcount ramp with function heads (currently only CFO's number).</w:t>
      </w:r>
    </w:p>
    <w:p xmlns:wp14="http://schemas.microsoft.com/office/word/2010/wordml" w14:paraId="0C24BE40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DPO sign-off on Customer Support scope and data flows.</w:t>
      </w:r>
    </w:p>
    <w:p xmlns:wp14="http://schemas.microsoft.com/office/word/2010/wordml" w14:paraId="56AE5603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Whether M&amp;V wants a single-entity or a two-entity structure (Tech Pvt Ltd + Services Pvt Ltd) for tax efficiency.</w:t>
      </w:r>
    </w:p>
    <w:p xmlns:wp14="http://schemas.microsoft.com/office/word/2010/wordml" w14:paraId="50F75F8E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Client's appetite for a BOT (Build-Operate-Transfer) partner vs. direct DIY entity setup — will materially change year-1 timeline and risk.</w:t>
      </w:r>
    </w:p>
    <w:p xmlns:wp14="http://schemas.microsoft.com/office/word/2010/wordml" w14:paraId="00B56F19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Long-term ownership of the Site Leader role — internal transfer from UK vs. external hire in India. Strong recommendation: external senior hire, ex-GCC leader.</w:t>
      </w:r>
    </w:p>
    <w:p xmlns:wp14="http://schemas.microsoft.com/office/word/2010/wordml" w14:paraId="1E44CC47" wp14:textId="77777777">
      <w:pPr>
        <w:pStyle w:val="Heading1"/>
      </w:pPr>
      <w:r>
        <w:t xml:space="preserve">10. Next Steps</w:t>
      </w:r>
    </w:p>
    <w:p xmlns:wp14="http://schemas.microsoft.com/office/word/2010/wordml" w14:paraId="1D6768C9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Aug 20–Sep 5: Primary talent benchmark across 3 cities (in progress; data going into the Excel tracker).</w:t>
      </w:r>
    </w:p>
    <w:p xmlns:wp14="http://schemas.microsoft.com/office/word/2010/wordml" w14:paraId="77BB3B06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Aug 25: Workshop with CHRO + CTO on org structure and experience mix.</w:t>
      </w:r>
    </w:p>
    <w:p xmlns:wp14="http://schemas.microsoft.com/office/word/2010/wordml" w14:paraId="245F9AF9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Sep 8: Site visits Bengaluru + Hyderabad (Pune optional, via video).</w:t>
      </w:r>
    </w:p>
    <w:p xmlns:wp14="http://schemas.microsoft.com/office/word/2010/wordml" w14:paraId="6424D470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Sep 20: Draft recommendation review (internal ANSR partner).</w:t>
      </w:r>
    </w:p>
    <w:p xmlns:wp14="http://schemas.microsoft.com/office/word/2010/wordml" w14:paraId="06935CBE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Oct 5: Draft PPT to client sponsor for feedback.</w:t>
      </w:r>
    </w:p>
    <w:p xmlns:wp14="http://schemas.microsoft.com/office/word/2010/wordml" w14:paraId="7DDE547A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Nov 12: Final Board presentation.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5A935C82" w14:paraId="29D1AEC3" wp14:textId="77777777">
    <w:pPr>
      <w:jc w:val="center"/>
      <w:rPr>
        <w:lang w:val="en-US"/>
      </w:rPr>
    </w:pPr>
    <w:r w:rsidRPr="5A935C82" w:rsidR="5A935C82">
      <w:rPr>
        <w:color w:val="808080"/>
        <w:sz w:val="18"/>
        <w:szCs w:val="18"/>
        <w:lang w:val="en-US"/>
      </w:rPr>
      <w:t xml:space="preserve">Marston &amp; Vale GCC Project  |  Page </w:t>
    </w:r>
    <w:r w:rsidRPr="5A935C82">
      <w:rPr>
        <w:color w:val="808080"/>
        <w:sz w:val="18"/>
        <w:szCs w:val="18"/>
        <w:lang w:val="en-US"/>
      </w:rPr>
      <w:fldChar w:fldCharType="begin"/>
    </w:r>
    <w:r w:rsidRPr="5A935C82">
      <w:rPr>
        <w:color w:val="808080"/>
        <w:sz w:val="18"/>
        <w:szCs w:val="18"/>
      </w:rPr>
      <w:instrText xml:space="preserve">PAGE</w:instrText>
    </w:r>
    <w:r w:rsidRPr="5A935C82">
      <w:rPr>
        <w:color w:val="808080"/>
        <w:sz w:val="18"/>
        <w:szCs w:val="18"/>
      </w:rPr>
      <w:fldChar w:fldCharType="separate"/>
    </w:r>
    <w:r w:rsidRPr="5A935C82">
      <w:rPr>
        <w:color w:val="808080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27FEA50B" wp14:textId="77777777">
    <w:pPr>
      <w:jc w:val="right"/>
    </w:pPr>
    <w:r w:rsidRPr="5A935C82" w:rsidR="5A935C82">
      <w:rPr>
        <w:i w:val="1"/>
        <w:iCs w:val="1"/>
        <w:color w:val="808080"/>
        <w:sz w:val="18"/>
        <w:szCs w:val="18"/>
        <w:lang w:val="en-US"/>
      </w:rPr>
      <w:t>ANSR Consulting  |  Confidential — Client: Marston &amp; Vale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a8a5b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e9138d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BF182BD"/>
  <w15:docId w15:val="{6C7B6793-51E6-4DD7-B5BD-AF4F5379DA03}"/>
  <w:rsids>
    <w:rsidRoot w:val="5A935C82"/>
    <w:rsid w:val="5A935C8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180" w:after="80"/>
      <w:outlineLvl w:val="1"/>
    </w:pPr>
    <w:rPr>
      <w:rFonts w:ascii="Calibri" w:hAnsi="Calibri" w:eastAsia="Calibri" w:cs="Calibri"/>
      <w:b/>
      <w:bCs/>
      <w:color w:val="2E74B5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Siddharth Mathapati</dc:creator>
  <lastModifiedBy>Siddharth Mathapati</lastModifiedBy>
  <revision>2</revision>
  <dcterms:created xsi:type="dcterms:W3CDTF">2026-07-22T15:46:44.3409068Z</dcterms:created>
  <dcterms:modified xsi:type="dcterms:W3CDTF">2026-07-22T15:51:51.8602649Z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bb76bd-f6d2-45bc-998e-d6f84e379b20_Enabled">
    <vt:lpwstr>true</vt:lpwstr>
  </property>
  <property fmtid="{D5CDD505-2E9C-101B-9397-08002B2CF9AE}" pid="3" name="MSIP_Label_20bb76bd-f6d2-45bc-998e-d6f84e379b20_SetDate">
    <vt:lpwstr>2026-07-22T15:46:44Z</vt:lpwstr>
  </property>
  <property fmtid="{D5CDD505-2E9C-101B-9397-08002B2CF9AE}" pid="4" name="MSIP_Label_20bb76bd-f6d2-45bc-998e-d6f84e379b20_Method">
    <vt:lpwstr>Standard</vt:lpwstr>
  </property>
  <property fmtid="{D5CDD505-2E9C-101B-9397-08002B2CF9AE}" pid="5" name="MSIP_Label_20bb76bd-f6d2-45bc-998e-d6f84e379b20_Name">
    <vt:lpwstr>Public</vt:lpwstr>
  </property>
  <property fmtid="{D5CDD505-2E9C-101B-9397-08002B2CF9AE}" pid="6" name="MSIP_Label_20bb76bd-f6d2-45bc-998e-d6f84e379b20_SiteId">
    <vt:lpwstr>b08407bb-0b20-4d4c-bba5-89a41710caaa</vt:lpwstr>
  </property>
  <property fmtid="{D5CDD505-2E9C-101B-9397-08002B2CF9AE}" pid="7" name="MSIP_Label_20bb76bd-f6d2-45bc-998e-d6f84e379b20_ActionId">
    <vt:lpwstr>866a012d-b3ff-4885-8fe6-8086d721f30a</vt:lpwstr>
  </property>
  <property fmtid="{D5CDD505-2E9C-101B-9397-08002B2CF9AE}" pid="8" name="MSIP_Label_20bb76bd-f6d2-45bc-998e-d6f84e379b20_ContentBits">
    <vt:lpwstr>0</vt:lpwstr>
  </property>
</Properties>
</file>