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640"/>
              <w:left w:type="dxa" w:w="520"/>
              <w:bottom w:type="dxa" w:w="640"/>
              <w:right w:type="dxa" w:w="520"/>
            </w:tcMar>
          </w:tcPr>
          <w:p>
            <w:pPr>
              <w:spacing w:after="100" w:before="0"/>
            </w:pPr>
            <w:r>
              <w:rPr>
                <w:rFonts w:ascii="Arial" w:cs="Arial" w:eastAsia="Arial" w:hAnsi="Arial"/>
                <w:b/>
                <w:bCs/>
                <w:color w:val="93C5FD"/>
                <w:spacing w:val="60"/>
                <w:sz w:val="18"/>
                <w:szCs w:val="18"/>
              </w:rPr>
              <w:t xml:space="preserve">INTERNAL FRAMEWORK PROPOSAL</w:t>
            </w:r>
          </w:p>
          <w:p>
            <w:pPr>
              <w:spacing w:after="120" w:before="0"/>
            </w:pPr>
            <w:r>
              <w:rPr>
                <w:rFonts w:ascii="Arial" w:cs="Arial" w:eastAsia="Arial" w:hAnsi="Arial"/>
                <w:b/>
                <w:bCs/>
                <w:color w:val="FFFFFF"/>
                <w:sz w:val="56"/>
                <w:szCs w:val="56"/>
              </w:rPr>
              <w:t xml:space="preserve">Spec-Driven AI Development</w:t>
            </w:r>
          </w:p>
          <w:p>
            <w:pPr>
              <w:spacing w:after="200" w:before="0"/>
            </w:pPr>
            <w:r>
              <w:rPr>
                <w:rFonts w:ascii="Arial" w:cs="Arial" w:eastAsia="Arial" w:hAnsi="Arial"/>
                <w:color w:val="BFDBFE"/>
                <w:sz w:val="22"/>
                <w:szCs w:val="22"/>
              </w:rPr>
              <w:t xml:space="preserve">A scalable, library-agnostic framework for consistent AI-generated code across enterprise Angular MFE teams — built to last beyond today's tooling.</w:t>
            </w:r>
          </w:p>
          <w:p>
            <w:pPr>
              <w:spacing w:after="60" w:before="0"/>
            </w:pPr>
            <w:r>
              <w:rPr>
                <w:rFonts w:ascii="Arial" w:cs="Arial" w:eastAsia="Arial" w:hAnsi="Arial"/>
                <w:b/>
                <w:bCs/>
                <w:color w:val="FFFFFF"/>
                <w:sz w:val="20"/>
                <w:szCs w:val="20"/>
              </w:rPr>
              <w:t xml:space="preserve">UI Architecture</w:t>
            </w:r>
          </w:p>
          <w:p>
            <w:pPr>
              <w:spacing w:after="0" w:before="0"/>
            </w:pPr>
            <w:r>
              <w:rPr>
                <w:rFonts w:ascii="Arial" w:cs="Arial" w:eastAsia="Arial" w:hAnsi="Arial"/>
                <w:color w:val="93C5FD"/>
                <w:sz w:val="20"/>
                <w:szCs w:val="20"/>
              </w:rPr>
              <w:t xml:space="preserve">March 2026  ·  v2.0</w:t>
            </w:r>
          </w:p>
        </w:tc>
      </w:tr>
    </w:tbl>
    <w:p>
      <w:pPr>
        <w:spacing w:after="0" w:before="400"/>
      </w:pPr>
      <w:r>
        <w:t xml:space="preserve"/>
      </w:r>
    </w:p>
    <w:p>
      <w:pPr>
        <w:pStyle w:val="Heading1"/>
        <w:spacing w:after="160" w:before="440"/>
      </w:pPr>
      <w:r>
        <w:rPr>
          <w:rFonts w:ascii="Arial" w:cs="Arial" w:eastAsia="Arial" w:hAnsi="Arial"/>
          <w:b/>
          <w:bCs/>
          <w:color w:val="0F172A"/>
          <w:sz w:val="34"/>
          <w:szCs w:val="34"/>
        </w:rPr>
        <w:t xml:space="preserve">Executive Summary</w:t>
      </w:r>
    </w:p>
    <w:p>
      <w:pPr>
        <w:spacing w:after="80" w:before="80" w:line="340"/>
      </w:pPr>
      <w:r>
        <w:rPr>
          <w:rFonts w:ascii="Arial" w:cs="Arial" w:eastAsia="Arial" w:hAnsi="Arial"/>
          <w:b w:val="false"/>
          <w:bCs w:val="false"/>
          <w:i w:val="false"/>
          <w:iCs w:val="false"/>
          <w:color w:val="334155"/>
          <w:sz w:val="22"/>
          <w:szCs w:val="22"/>
        </w:rPr>
        <w:t xml:space="preserve">As AI coding agents become central to how our teams build, the quality and consistency of their output depends entirely on the quality of the instructions they receive. Today, each of our 15 product teams independently prompts agents with their own conventions — or none at all — producing inconsistent implementations, duplicated effort, and compounding UX fragmentation.</w:t>
      </w:r>
    </w:p>
    <w:p>
      <w:pPr>
        <w:spacing w:after="0" w:before="80"/>
      </w:pPr>
      <w:r>
        <w:t xml:space="preserve"/>
      </w:r>
    </w:p>
    <w:p>
      <w:pPr>
        <w:spacing w:after="80" w:before="80" w:line="340"/>
      </w:pPr>
      <w:r>
        <w:rPr>
          <w:rFonts w:ascii="Arial" w:cs="Arial" w:eastAsia="Arial" w:hAnsi="Arial"/>
          <w:b w:val="false"/>
          <w:bCs w:val="false"/>
          <w:i w:val="false"/>
          <w:iCs w:val="false"/>
          <w:color w:val="334155"/>
          <w:sz w:val="22"/>
          <w:szCs w:val="22"/>
        </w:rPr>
        <w:t xml:space="preserve">This document proposes the Spec-Driven AI Development Framework: a governed, library-agnostic system that gives every team and every AI agent a single source of truth for implementing UI patterns. The framework uses structured specification files — specs — that encode exactly how to build something, including the tokens to use, component structure, canonical configuration, and a self-verification checklist agents run before producing output.</w:t>
      </w:r>
    </w:p>
    <w:p>
      <w:pPr>
        <w:spacing w:after="0" w:before="80"/>
      </w:pPr>
      <w:r>
        <w:t xml:space="preserve"/>
      </w:r>
    </w:p>
    <w:p>
      <w:pPr>
        <w:spacing w:after="80" w:before="80" w:line="340"/>
      </w:pPr>
      <w:r>
        <w:rPr>
          <w:rFonts w:ascii="Arial" w:cs="Arial" w:eastAsia="Arial" w:hAnsi="Arial"/>
          <w:b w:val="false"/>
          <w:bCs w:val="false"/>
          <w:i w:val="false"/>
          <w:iCs w:val="false"/>
          <w:color w:val="334155"/>
          <w:sz w:val="22"/>
          <w:szCs w:val="22"/>
        </w:rPr>
        <w:t xml:space="preserve">Critically, the framework is designed to outlast today's tooling choices. A semantic adapter layer decouples all pattern specs from the underlying component library. Swapping Angular Material for our internal Design System — when it ships — requires changing two files, not fifteen team codebases.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20"/>
              <w:bottom w:val="none" w:color="FFFFFF" w:sz="0"/>
              <w:right w:val="none" w:color="FFFFFF" w:sz="0"/>
            </w:tcBorders>
            <w:shd w:fill="DCFCE7" w:val="clear"/>
            <w:tcMar>
              <w:top w:type="dxa" w:w="100"/>
              <w:left w:type="dxa" w:w="200"/>
              <w:bottom w:type="dxa" w:w="100"/>
              <w:right w:type="dxa" w:w="160"/>
            </w:tcMar>
          </w:tcPr>
          <w:p>
            <w:pPr>
              <w:spacing w:after="60" w:before="0"/>
            </w:pPr>
            <w:r>
              <w:rPr>
                <w:rFonts w:ascii="Arial" w:cs="Arial" w:eastAsia="Arial" w:hAnsi="Arial"/>
                <w:b/>
                <w:bCs/>
                <w:color w:val="166534"/>
                <w:sz w:val="18"/>
                <w:szCs w:val="18"/>
              </w:rPr>
              <w:t xml:space="preserve">KEY BENEFIT</w:t>
            </w:r>
          </w:p>
          <w:p>
            <w:pPr>
              <w:spacing w:after="0" w:before="0"/>
            </w:pPr>
            <w:r>
              <w:rPr>
                <w:rFonts w:ascii="Arial" w:cs="Arial" w:eastAsia="Arial" w:hAnsi="Arial"/>
                <w:color w:val="334155"/>
                <w:sz w:val="20"/>
                <w:szCs w:val="20"/>
              </w:rPr>
              <w:t xml:space="preserve">Consistency without coupling. Shared standards without shared libraries. And a clear, low-risk migration path to our internal DS — built in from day one.</w:t>
            </w:r>
          </w:p>
        </w:tc>
      </w:tr>
    </w:tbl>
    <w:p>
      <w:pPr>
        <w:spacing w:after="0" w:before="160"/>
      </w:pPr>
      <w:r>
        <w:t xml:space="preserve"/>
      </w:r>
    </w:p>
    <w:p>
      <w:r>
        <w:br w:type="page"/>
      </w:r>
    </w:p>
    <w:p>
      <w:pPr>
        <w:pStyle w:val="Heading1"/>
        <w:spacing w:after="160" w:before="440"/>
      </w:pPr>
      <w:r>
        <w:rPr>
          <w:rFonts w:ascii="Arial" w:cs="Arial" w:eastAsia="Arial" w:hAnsi="Arial"/>
          <w:b/>
          <w:bCs/>
          <w:color w:val="0F172A"/>
          <w:sz w:val="34"/>
          <w:szCs w:val="34"/>
        </w:rPr>
        <w:t xml:space="preserve">The Problem We're Solving</w:t>
      </w:r>
    </w:p>
    <w:p>
      <w:pPr>
        <w:pStyle w:val="Heading2"/>
        <w:pBdr>
          <w:bottom w:val="single" w:color="E2E8F0" w:sz="4" w:space="4"/>
        </w:pBdr>
        <w:spacing w:after="120" w:before="340"/>
      </w:pPr>
      <w:r>
        <w:rPr>
          <w:rFonts w:ascii="Arial" w:cs="Arial" w:eastAsia="Arial" w:hAnsi="Arial"/>
          <w:b/>
          <w:bCs/>
          <w:color w:val="0F172A"/>
          <w:sz w:val="26"/>
          <w:szCs w:val="26"/>
        </w:rPr>
        <w:t xml:space="preserve">Inconsistency is compounding</w:t>
      </w:r>
    </w:p>
    <w:p>
      <w:pPr>
        <w:spacing w:after="80" w:before="80" w:line="340"/>
      </w:pPr>
      <w:r>
        <w:rPr>
          <w:rFonts w:ascii="Arial" w:cs="Arial" w:eastAsia="Arial" w:hAnsi="Arial"/>
          <w:b w:val="false"/>
          <w:bCs w:val="false"/>
          <w:i w:val="false"/>
          <w:iCs w:val="false"/>
          <w:color w:val="334155"/>
          <w:sz w:val="22"/>
          <w:szCs w:val="22"/>
        </w:rPr>
        <w:t xml:space="preserve">The same patterns are implemented differently across our teams — sometimes significantly. AG Grid tables vary in column configuration, pagination wiring, theming, empty state handling, and accessibility compliance. Forms use different token sets. The same DS components are used in non-standard ways. This isn't a skills problem. It's an information architecture problem: there is no shared, authoritative source of how to build these things.</w:t>
      </w:r>
    </w:p>
    <w:p>
      <w:pPr>
        <w:spacing w:after="0" w:before="80"/>
      </w:pPr>
      <w:r>
        <w:t xml:space="preserve"/>
      </w:r>
    </w:p>
    <w:p>
      <w:pPr>
        <w:spacing w:after="80" w:before="80" w:line="340"/>
      </w:pPr>
      <w:r>
        <w:rPr>
          <w:rFonts w:ascii="Arial" w:cs="Arial" w:eastAsia="Arial" w:hAnsi="Arial"/>
          <w:b w:val="false"/>
          <w:bCs w:val="false"/>
          <w:i w:val="false"/>
          <w:iCs w:val="false"/>
          <w:color w:val="334155"/>
          <w:sz w:val="22"/>
          <w:szCs w:val="22"/>
        </w:rPr>
        <w:t xml:space="preserve">As AI-assisted development accelerates this output, the problem compounds. Agents produce code based on whatever context they're given. Without standard context, they produce non-standard output — correctly implementing what they were told, just inconsistently across teams. The volume increases but the consistency doesn't.</w:t>
      </w:r>
    </w:p>
    <w:p>
      <w:pPr>
        <w:spacing w:after="0" w:before="120"/>
      </w:pPr>
      <w:r>
        <w:t xml:space="preserve"/>
      </w:r>
    </w:p>
    <w:p>
      <w:pPr>
        <w:pStyle w:val="Heading2"/>
        <w:pBdr>
          <w:bottom w:val="single" w:color="E2E8F0" w:sz="4" w:space="4"/>
        </w:pBdr>
        <w:spacing w:after="120" w:before="340"/>
      </w:pPr>
      <w:r>
        <w:rPr>
          <w:rFonts w:ascii="Arial" w:cs="Arial" w:eastAsia="Arial" w:hAnsi="Arial"/>
          <w:b/>
          <w:bCs/>
          <w:color w:val="0F172A"/>
          <w:sz w:val="26"/>
          <w:szCs w:val="26"/>
        </w:rPr>
        <w:t xml:space="preserve">Why not a shared component library?</w:t>
      </w:r>
    </w:p>
    <w:p>
      <w:pPr>
        <w:spacing w:after="80" w:before="80" w:line="340"/>
      </w:pPr>
      <w:r>
        <w:rPr>
          <w:rFonts w:ascii="Arial" w:cs="Arial" w:eastAsia="Arial" w:hAnsi="Arial"/>
          <w:b w:val="false"/>
          <w:bCs w:val="false"/>
          <w:i w:val="false"/>
          <w:iCs w:val="false"/>
          <w:color w:val="334155"/>
          <w:sz w:val="22"/>
          <w:szCs w:val="22"/>
        </w:rPr>
        <w:t xml:space="preserve">Shared libraries are the conventional answer. In a Module Federation MFE environment with 15 independent teams, they create significant operational friction that outweighs the consistency benefit: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Shared Library Problem</w:t>
            </w:r>
          </w:p>
        </w:tc>
        <w:tc>
          <w:tcPr>
            <w:tcW w:type="dxa" w:w="50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Spec Framework Resolution</w:t>
            </w:r>
          </w:p>
        </w:tc>
      </w:tr>
      <w:tr>
        <w:trPr>
          <w:tblHeader w:val="false"/>
        </w:trPr>
        <w:tc>
          <w:tcPr>
            <w:tcW w:type="dxa" w:w="4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Breaking changes require coordinated upgrades across all 15 teams</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Spec updates are advisory — teams re-generate on their own schedule</w:t>
            </w:r>
          </w:p>
        </w:tc>
      </w:tr>
      <w:tr>
        <w:trPr>
          <w:tblHeader w:val="false"/>
        </w:trPr>
        <w:tc>
          <w:tcPr>
            <w:tcW w:type="dxa" w:w="4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Cross-team PR dependencies block delivery</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Teams generate and own implementations locally — no cross-team PRs</w:t>
            </w:r>
          </w:p>
        </w:tc>
      </w:tr>
      <w:tr>
        <w:trPr>
          <w:tblHeader w:val="false"/>
        </w:trPr>
        <w:tc>
          <w:tcPr>
            <w:tcW w:type="dxa" w:w="4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Bundle size and peer dependency conflicts in MFE</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Zero runtime dependency — spec consumed at generation time only</w:t>
            </w:r>
          </w:p>
        </w:tc>
      </w:tr>
      <w:tr>
        <w:trPr>
          <w:tblHeader w:val="false"/>
        </w:trPr>
        <w:tc>
          <w:tcPr>
            <w:tcW w:type="dxa" w:w="4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Platform team is the bottleneck for every new pattern</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Any team can author a spec via PR — platform reviews, doesn't build</w:t>
            </w:r>
          </w:p>
        </w:tc>
      </w:tr>
      <w:tr>
        <w:trPr>
          <w:tblHeader w:val="false"/>
        </w:trPr>
        <w:tc>
          <w:tcPr>
            <w:tcW w:type="dxa" w:w="4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DS migration requires updating every shared library consumer</w:t>
            </w:r>
          </w:p>
        </w:tc>
        <w:tc>
          <w:tcPr>
            <w:tcW w:type="dxa" w:w="5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DS migration = updating the adapter layer only</w:t>
            </w:r>
          </w:p>
        </w:tc>
      </w:tr>
    </w:tbl>
    <w:p>
      <w:pPr>
        <w:spacing w:after="0" w:before="160"/>
      </w:pPr>
      <w:r>
        <w:t xml:space="preserve"/>
      </w:r>
    </w:p>
    <w:p>
      <w:r>
        <w:br w:type="page"/>
      </w:r>
    </w:p>
    <w:p>
      <w:pPr>
        <w:pStyle w:val="Heading1"/>
        <w:spacing w:after="160" w:before="440"/>
      </w:pPr>
      <w:r>
        <w:rPr>
          <w:rFonts w:ascii="Arial" w:cs="Arial" w:eastAsia="Arial" w:hAnsi="Arial"/>
          <w:b/>
          <w:bCs/>
          <w:color w:val="0F172A"/>
          <w:sz w:val="34"/>
          <w:szCs w:val="34"/>
        </w:rPr>
        <w:t xml:space="preserve">What Is a Spec?</w:t>
      </w:r>
    </w:p>
    <w:p>
      <w:pPr>
        <w:spacing w:after="80" w:before="80" w:line="340"/>
      </w:pPr>
      <w:r>
        <w:rPr>
          <w:rFonts w:ascii="Arial" w:cs="Arial" w:eastAsia="Arial" w:hAnsi="Arial"/>
          <w:b w:val="false"/>
          <w:bCs w:val="false"/>
          <w:i w:val="false"/>
          <w:iCs w:val="false"/>
          <w:color w:val="334155"/>
          <w:sz w:val="22"/>
          <w:szCs w:val="22"/>
        </w:rPr>
        <w:t xml:space="preserve">A spec is a structured markdown file that defines the complete implementation contract for a UI pattern. It has three audiences: AI coding agents, human developers, and platform architects. Each section serves a distinct purpose and is written to be unambiguous for all three.</w:t>
      </w:r>
    </w:p>
    <w:p>
      <w:pPr>
        <w:spacing w:after="0" w:before="120"/>
      </w:pPr>
      <w:r>
        <w:t xml:space="preserve"/>
      </w:r>
    </w:p>
    <w:p>
      <w:pPr>
        <w:pStyle w:val="Heading2"/>
        <w:pBdr>
          <w:bottom w:val="single" w:color="E2E8F0" w:sz="4" w:space="4"/>
        </w:pBdr>
        <w:spacing w:after="120" w:before="340"/>
      </w:pPr>
      <w:r>
        <w:rPr>
          <w:rFonts w:ascii="Arial" w:cs="Arial" w:eastAsia="Arial" w:hAnsi="Arial"/>
          <w:b/>
          <w:bCs/>
          <w:color w:val="0F172A"/>
          <w:sz w:val="26"/>
          <w:szCs w:val="26"/>
        </w:rPr>
        <w:t xml:space="preserve">Anatomy of a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Tag</w:t>
            </w:r>
          </w:p>
        </w:tc>
        <w:tc>
          <w:tcPr>
            <w:tcW w:type="dxa" w:w="5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Metadata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Identity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Namespaced spec-id, semver, status, owner, and adapter references. The unambiguous handle for every agent and developer.</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Intent &amp; Scope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Boundary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What this spec covers and where to route edge cases. Hard boundaries prevent agents from improvising outside the pattern.</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DS Tokens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Visual Contract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Semantic token names mapped to their current adapter values. Every visual property defined. Zero hardcoded values allowed.</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Component Structure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Scaffold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File layout, required inputs and outputs, template skeleton. Standardizes the API surface across all team implementations.</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Configuration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Defaults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canonical configuration object — gridOptions, formConfig, etc. Agents copy verbatim. No ad-hoc overrides.</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Column / Field Types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Composition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Maps each data type to its prescribed DS renderer or formatter. Prevents inline formatting from entering the codebase.</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Behavioral Variants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Behavior</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Decision rules for the agent: client vs server mode, auth modes, layout modes. Agent selects and states its choice.</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Required States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UX Completeness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Loading, empty, and error states are required — not optional. Each mapped to its DS component.</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Agent Checklist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Self-Verification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agent's final step before outputting code. Maps to every section above. The spec's enforcement mechanism.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20"/>
              <w:bottom w:val="none" w:color="FFFFFF" w:sz="0"/>
              <w:right w:val="none" w:color="FFFFFF" w:sz="0"/>
            </w:tcBorders>
            <w:shd w:fill="F0F4FF" w:val="clear"/>
            <w:tcMar>
              <w:top w:type="dxa" w:w="100"/>
              <w:left w:type="dxa" w:w="200"/>
              <w:bottom w:type="dxa" w:w="100"/>
              <w:right w:type="dxa" w:w="160"/>
            </w:tcMar>
          </w:tcPr>
          <w:p>
            <w:pPr>
              <w:spacing w:after="60" w:before="0"/>
            </w:pPr>
            <w:r>
              <w:rPr>
                <w:rFonts w:ascii="Arial" w:cs="Arial" w:eastAsia="Arial" w:hAnsi="Arial"/>
                <w:b/>
                <w:bCs/>
                <w:color w:val="1035A0"/>
                <w:sz w:val="18"/>
                <w:szCs w:val="18"/>
              </w:rPr>
              <w:t xml:space="preserve">ON THE AGENT CHECKLIST</w:t>
            </w:r>
          </w:p>
          <w:p>
            <w:pPr>
              <w:spacing w:after="0" w:before="0"/>
            </w:pPr>
            <w:r>
              <w:rPr>
                <w:rFonts w:ascii="Arial" w:cs="Arial" w:eastAsia="Arial" w:hAnsi="Arial"/>
                <w:color w:val="334155"/>
                <w:sz w:val="20"/>
                <w:szCs w:val="20"/>
              </w:rPr>
              <w:t xml:space="preserve">This is the most important section. It transforms a spec from documentation into a structured self-review pass. The agent verifies its own output before delivery — catching violations before they reach a PR.</w:t>
            </w:r>
          </w:p>
        </w:tc>
      </w:tr>
    </w:tbl>
    <w:p>
      <w:pPr>
        <w:spacing w:after="0" w:before="160"/>
      </w:pPr>
      <w:r>
        <w:t xml:space="preserve"/>
      </w:r>
    </w:p>
    <w:p>
      <w:r>
        <w:br w:type="page"/>
      </w:r>
    </w:p>
    <w:p>
      <w:pPr>
        <w:pStyle w:val="Heading1"/>
        <w:spacing w:after="160" w:before="440"/>
      </w:pPr>
      <w:r>
        <w:rPr>
          <w:rFonts w:ascii="Arial" w:cs="Arial" w:eastAsia="Arial" w:hAnsi="Arial"/>
          <w:b/>
          <w:bCs/>
          <w:color w:val="0F172A"/>
          <w:sz w:val="34"/>
          <w:szCs w:val="34"/>
        </w:rPr>
        <w:t xml:space="preserve">Framework Architecture</w:t>
      </w:r>
    </w:p>
    <w:p>
      <w:pPr>
        <w:spacing w:after="80" w:before="80" w:line="340"/>
      </w:pPr>
      <w:r>
        <w:rPr>
          <w:rFonts w:ascii="Arial" w:cs="Arial" w:eastAsia="Arial" w:hAnsi="Arial"/>
          <w:b w:val="false"/>
          <w:bCs w:val="false"/>
          <w:i w:val="false"/>
          <w:iCs w:val="false"/>
          <w:color w:val="334155"/>
          <w:sz w:val="22"/>
          <w:szCs w:val="22"/>
        </w:rPr>
        <w:t xml:space="preserve">The framework has five interconnected layers. The first four were established in the initial version. The fifth — the adapter layer — is new, and is what makes the framework library-agnostic and DS-migration-ready.</w:t>
      </w:r>
    </w:p>
    <w:p>
      <w:pPr>
        <w:spacing w:after="0" w:before="120"/>
      </w:pPr>
      <w:r>
        <w:t xml:space="preserve"/>
      </w:r>
    </w:p>
    <w:p>
      <w:pPr>
        <w:pStyle w:val="Heading2"/>
        <w:pBdr>
          <w:bottom w:val="single" w:color="E2E8F0" w:sz="4" w:space="4"/>
        </w:pBdr>
        <w:spacing w:after="120" w:before="340"/>
      </w:pPr>
      <w:r>
        <w:rPr>
          <w:rFonts w:ascii="Arial" w:cs="Arial" w:eastAsia="Arial" w:hAnsi="Arial"/>
          <w:b/>
          <w:bCs/>
          <w:color w:val="0F172A"/>
          <w:sz w:val="26"/>
          <w:szCs w:val="26"/>
        </w:rPr>
        <w:t xml:space="preserve">The five layers</w:t>
      </w:r>
    </w:p>
    <w:p>
      <w:pPr>
        <w:pStyle w:val="Heading3"/>
        <w:spacing w:after="80" w:before="240"/>
      </w:pPr>
      <w:r>
        <w:rPr>
          <w:rFonts w:ascii="Arial" w:cs="Arial" w:eastAsia="Arial" w:hAnsi="Arial"/>
          <w:b/>
          <w:bCs/>
          <w:color w:val="1035A0"/>
          <w:sz w:val="22"/>
          <w:szCs w:val="22"/>
        </w:rPr>
        <w:t xml:space="preserve">Layer 1 — The Meta-Spec</w:t>
      </w:r>
    </w:p>
    <w:p>
      <w:pPr>
        <w:spacing w:after="80" w:before="80" w:line="340"/>
      </w:pPr>
      <w:r>
        <w:rPr>
          <w:rFonts w:ascii="Arial" w:cs="Arial" w:eastAsia="Arial" w:hAnsi="Arial"/>
          <w:b w:val="false"/>
          <w:bCs w:val="false"/>
          <w:i w:val="false"/>
          <w:iCs w:val="false"/>
          <w:color w:val="334155"/>
          <w:sz w:val="22"/>
          <w:szCs w:val="22"/>
        </w:rPr>
        <w:t xml:space="preserve">A template (SPEC.template.md) that defines what a valid spec looks like: required sections, required frontmatter fields, required agent instruction format. Every spec is validated against this template before merging as active. Ensures consistent structure regardless of who authors the spec.</w:t>
      </w:r>
    </w:p>
    <w:p>
      <w:pPr>
        <w:spacing w:after="0" w:before="100"/>
      </w:pPr>
      <w:r>
        <w:t xml:space="preserve"/>
      </w:r>
    </w:p>
    <w:p>
      <w:pPr>
        <w:pStyle w:val="Heading3"/>
        <w:spacing w:after="80" w:before="240"/>
      </w:pPr>
      <w:r>
        <w:rPr>
          <w:rFonts w:ascii="Arial" w:cs="Arial" w:eastAsia="Arial" w:hAnsi="Arial"/>
          <w:b/>
          <w:bCs/>
          <w:color w:val="1035A0"/>
          <w:sz w:val="22"/>
          <w:szCs w:val="22"/>
        </w:rPr>
        <w:t xml:space="preserve">Layer 2 — The Registry</w:t>
      </w:r>
    </w:p>
    <w:p>
      <w:pPr>
        <w:spacing w:after="80" w:before="80" w:line="340"/>
      </w:pPr>
      <w:r>
        <w:rPr>
          <w:rFonts w:ascii="Arial" w:cs="Arial" w:eastAsia="Arial" w:hAnsi="Arial"/>
          <w:b w:val="false"/>
          <w:bCs w:val="false"/>
          <w:i w:val="false"/>
          <w:iCs w:val="false"/>
          <w:color w:val="334155"/>
          <w:sz w:val="22"/>
          <w:szCs w:val="22"/>
        </w:rPr>
        <w:t xml:space="preserve">A central registry.json indexes every spec by spec-id, status, version, owner, tags, and dependencies. A CLI (registry-cli.js) lets developers search by use case, get spec details, and validate registry integrity. The discovery mechanism — without it, teams parallel-create specs and fragmentation returns.</w:t>
      </w:r>
    </w:p>
    <w:p>
      <w:pPr>
        <w:spacing w:after="0" w:before="100"/>
      </w:pPr>
      <w:r>
        <w:t xml:space="preserve"/>
      </w:r>
    </w:p>
    <w:p>
      <w:pPr>
        <w:pStyle w:val="Heading3"/>
        <w:spacing w:after="80" w:before="240"/>
      </w:pPr>
      <w:r>
        <w:rPr>
          <w:rFonts w:ascii="Arial" w:cs="Arial" w:eastAsia="Arial" w:hAnsi="Arial"/>
          <w:b/>
          <w:bCs/>
          <w:color w:val="1035A0"/>
          <w:sz w:val="22"/>
          <w:szCs w:val="22"/>
        </w:rPr>
        <w:t xml:space="preserve">Layer 3 — The Agent Contract</w:t>
      </w:r>
    </w:p>
    <w:p>
      <w:pPr>
        <w:spacing w:after="80" w:before="80" w:line="340"/>
      </w:pPr>
      <w:r>
        <w:rPr>
          <w:rFonts w:ascii="Arial" w:cs="Arial" w:eastAsia="Arial" w:hAnsi="Arial"/>
          <w:b w:val="false"/>
          <w:bCs w:val="false"/>
          <w:i w:val="false"/>
          <w:iCs w:val="false"/>
          <w:color w:val="334155"/>
          <w:sz w:val="22"/>
          <w:szCs w:val="22"/>
        </w:rPr>
        <w:t xml:space="preserve">A standard system prompt defines how any AI agent — GitHub Copilot, Cursor, Claude — consumes a spec. It establishes reading order, the output contract (agents declare which spec and version they used and output a filled compliance checklist), and behavioral rules for gaps and deprecated specs. Copilot Chat slash commands make spec consumption a one-step developer workflow.</w:t>
      </w:r>
    </w:p>
    <w:p>
      <w:pPr>
        <w:spacing w:after="0" w:before="100"/>
      </w:pPr>
      <w:r>
        <w:t xml:space="preserve"/>
      </w:r>
    </w:p>
    <w:p>
      <w:pPr>
        <w:pStyle w:val="Heading3"/>
        <w:spacing w:after="80" w:before="240"/>
      </w:pPr>
      <w:r>
        <w:rPr>
          <w:rFonts w:ascii="Arial" w:cs="Arial" w:eastAsia="Arial" w:hAnsi="Arial"/>
          <w:b/>
          <w:bCs/>
          <w:color w:val="1035A0"/>
          <w:sz w:val="22"/>
          <w:szCs w:val="22"/>
        </w:rPr>
        <w:t xml:space="preserve">Layer 4 — Compliance &amp; Feedback Loop</w:t>
      </w:r>
    </w:p>
    <w:p>
      <w:pPr>
        <w:spacing w:after="80" w:before="80" w:line="340"/>
      </w:pPr>
      <w:r>
        <w:rPr>
          <w:rFonts w:ascii="Arial" w:cs="Arial" w:eastAsia="Arial" w:hAnsi="Arial"/>
          <w:b w:val="false"/>
          <w:bCs w:val="false"/>
          <w:i w:val="false"/>
          <w:iCs w:val="false"/>
          <w:color w:val="334155"/>
          <w:sz w:val="22"/>
          <w:szCs w:val="22"/>
        </w:rPr>
        <w:t xml:space="preserve">A spec linter validates spec files at authoring time in CI. A learnings log per spec captures recurring agent failures and feeds corrections back into the spec — creating a self-improving loop where the spec gets more precise with each generation cycle.</w:t>
      </w:r>
    </w:p>
    <w:p>
      <w:pPr>
        <w:spacing w:after="0" w:before="100"/>
      </w:pPr>
      <w:r>
        <w:t xml:space="preserve"/>
      </w:r>
    </w:p>
    <w:p>
      <w:pPr>
        <w:pStyle w:val="Heading3"/>
        <w:spacing w:after="80" w:before="240"/>
      </w:pPr>
      <w:r>
        <w:rPr>
          <w:rFonts w:ascii="Arial" w:cs="Arial" w:eastAsia="Arial" w:hAnsi="Arial"/>
          <w:b/>
          <w:bCs/>
          <w:color w:val="1035A0"/>
          <w:sz w:val="22"/>
          <w:szCs w:val="22"/>
        </w:rPr>
        <w:t xml:space="preserve">Layer 5 — The Adapter Layer (new)</w:t>
      </w:r>
    </w:p>
    <w:p>
      <w:pPr>
        <w:spacing w:after="80" w:before="80" w:line="340"/>
      </w:pPr>
      <w:r>
        <w:rPr>
          <w:rFonts w:ascii="Arial" w:cs="Arial" w:eastAsia="Arial" w:hAnsi="Arial"/>
          <w:b w:val="false"/>
          <w:bCs w:val="false"/>
          <w:i w:val="false"/>
          <w:iCs w:val="false"/>
          <w:color w:val="334155"/>
          <w:sz w:val="22"/>
          <w:szCs w:val="22"/>
        </w:rPr>
        <w:t xml:space="preserve">The adapter layer is the architectural decision that makes everything else durable. It sits between pattern specs and the underlying component library, providing a stable semantic interface that never changes — even when the library underneath does.</w:t>
      </w:r>
    </w:p>
    <w:p>
      <w:pPr>
        <w:spacing w:after="0" w:before="120"/>
      </w:pPr>
      <w:r>
        <w:t xml:space="preserve"/>
      </w:r>
    </w:p>
    <w:p>
      <w:pPr>
        <w:pStyle w:val="Heading2"/>
        <w:pBdr>
          <w:bottom w:val="single" w:color="E2E8F0" w:sz="4" w:space="4"/>
        </w:pBdr>
        <w:spacing w:after="120" w:before="340"/>
      </w:pPr>
      <w:r>
        <w:rPr>
          <w:rFonts w:ascii="Arial" w:cs="Arial" w:eastAsia="Arial" w:hAnsi="Arial"/>
          <w:b/>
          <w:bCs/>
          <w:color w:val="0F172A"/>
          <w:sz w:val="26"/>
          <w:szCs w:val="26"/>
        </w:rPr>
        <w:t xml:space="preserve">The adapter layer in detail</w:t>
      </w:r>
    </w:p>
    <w:p>
      <w:pPr>
        <w:spacing w:after="80" w:before="80" w:line="340"/>
      </w:pPr>
      <w:r>
        <w:rPr>
          <w:rFonts w:ascii="Arial" w:cs="Arial" w:eastAsia="Arial" w:hAnsi="Arial"/>
          <w:b w:val="false"/>
          <w:bCs w:val="false"/>
          <w:i w:val="false"/>
          <w:iCs w:val="false"/>
          <w:color w:val="334155"/>
          <w:sz w:val="22"/>
          <w:szCs w:val="22"/>
        </w:rPr>
        <w:t xml:space="preserve">Two specs form the adapter layer:</w:t>
      </w:r>
    </w:p>
    <w:p>
      <w:pPr>
        <w:spacing w:after="0" w:before="80"/>
      </w:pPr>
      <w:r>
        <w:t xml:space="preserve"/>
      </w:r>
    </w:p>
    <w:p>
      <w:pPr>
        <w:pStyle w:val="ListParagraph"/>
        <w:numPr>
          <w:ilvl w:val="0"/>
          <w:numId w:val="2"/>
        </w:numPr>
        <w:spacing w:after="40" w:before="40" w:line="320"/>
      </w:pPr>
      <w:r>
        <w:rPr>
          <w:rFonts w:ascii="Arial" w:cs="Arial" w:eastAsia="Arial" w:hAnsi="Arial"/>
          <w:color w:val="334155"/>
          <w:sz w:val="22"/>
          <w:szCs w:val="22"/>
        </w:rPr>
        <w:t xml:space="preserve">ds/tokens/semantic — maps semantic token names (color.$surface-hover, type.$label-strong) to their current library equivalents. Currently Angular Material. When our internal DS ships, this file is updated.</w:t>
      </w:r>
    </w:p>
    <w:p>
      <w:pPr>
        <w:pStyle w:val="ListParagraph"/>
        <w:numPr>
          <w:ilvl w:val="0"/>
          <w:numId w:val="2"/>
        </w:numPr>
        <w:spacing w:after="40" w:before="40" w:line="320"/>
      </w:pPr>
      <w:r>
        <w:rPr>
          <w:rFonts w:ascii="Arial" w:cs="Arial" w:eastAsia="Arial" w:hAnsi="Arial"/>
          <w:color w:val="334155"/>
          <w:sz w:val="22"/>
          <w:szCs w:val="22"/>
        </w:rPr>
        <w:t xml:space="preserve">ds/components/component-map — maps semantic DS component names (DsBadgeComponent, DsEmptyStateComponent) to their current implementations. Currently Material-backed wrappers. Same swap mechanism.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80"/>
        <w:gridCol w:w="2880"/>
        <w:gridCol w:w="480"/>
        <w:gridCol w:w="2640"/>
      </w:tblGrid>
      <w:tr>
        <w:tc>
          <w:tcPr>
            <w:tcW w:type="dxa" w:w="2880"/>
            <w:tcBorders>
              <w:top w:val="none" w:color="FFFFFF" w:sz="0"/>
              <w:left w:val="none" w:color="FFFFFF" w:sz="0"/>
              <w:bottom w:val="none" w:color="FFFFFF" w:sz="0"/>
              <w:right w:val="none" w:color="FFFFFF" w:sz="0"/>
            </w:tcBorders>
          </w:tcPr>
          <w:p>
            <w:pPr>
              <w:jc w:val="center"/>
            </w:pPr>
            <w:r>
              <w:rPr>
                <w:rFonts w:ascii="Arial" w:cs="Arial" w:eastAsia="Arial" w:hAnsi="Arial"/>
                <w:b/>
                <w:bCs/>
                <w:color w:val="1035A0"/>
                <w:sz w:val="17"/>
                <w:szCs w:val="17"/>
              </w:rPr>
              <w:t xml:space="preserve">PATTERN SPECS</w:t>
            </w:r>
          </w:p>
        </w:tc>
        <w:tc>
          <w:tcPr>
            <w:tcW w:type="dxa" w:w="480"/>
            <w:tcBorders>
              <w:top w:val="none" w:color="FFFFFF" w:sz="0"/>
              <w:left w:val="none" w:color="FFFFFF" w:sz="0"/>
              <w:bottom w:val="none" w:color="FFFFFF" w:sz="0"/>
              <w:right w:val="none" w:color="FFFFFF" w:sz="0"/>
            </w:tcBorders>
          </w:tcPr>
          <w:p>
            <w:r>
              <w:t xml:space="preserve"/>
            </w:r>
          </w:p>
        </w:tc>
        <w:tc>
          <w:tcPr>
            <w:tcW w:type="dxa" w:w="2880"/>
            <w:tcBorders>
              <w:top w:val="none" w:color="FFFFFF" w:sz="0"/>
              <w:left w:val="none" w:color="FFFFFF" w:sz="0"/>
              <w:bottom w:val="none" w:color="FFFFFF" w:sz="0"/>
              <w:right w:val="none" w:color="FFFFFF" w:sz="0"/>
            </w:tcBorders>
          </w:tcPr>
          <w:p>
            <w:pPr>
              <w:jc w:val="center"/>
            </w:pPr>
            <w:r>
              <w:rPr>
                <w:rFonts w:ascii="Arial" w:cs="Arial" w:eastAsia="Arial" w:hAnsi="Arial"/>
                <w:b/>
                <w:bCs/>
                <w:color w:val="166534"/>
                <w:sz w:val="17"/>
                <w:szCs w:val="17"/>
              </w:rPr>
              <w:t xml:space="preserve">ADAPTER LAYER</w:t>
            </w:r>
          </w:p>
        </w:tc>
        <w:tc>
          <w:tcPr>
            <w:tcW w:type="dxa" w:w="480"/>
            <w:tcBorders>
              <w:top w:val="none" w:color="FFFFFF" w:sz="0"/>
              <w:left w:val="none" w:color="FFFFFF" w:sz="0"/>
              <w:bottom w:val="none" w:color="FFFFFF" w:sz="0"/>
              <w:right w:val="none" w:color="FFFFFF" w:sz="0"/>
            </w:tcBorders>
          </w:tcPr>
          <w:p>
            <w:r>
              <w:t xml:space="preserve"/>
            </w:r>
          </w:p>
        </w:tc>
        <w:tc>
          <w:tcPr>
            <w:tcW w:type="dxa" w:w="2640"/>
            <w:tcBorders>
              <w:top w:val="none" w:color="FFFFFF" w:sz="0"/>
              <w:left w:val="none" w:color="FFFFFF" w:sz="0"/>
              <w:bottom w:val="none" w:color="FFFFFF" w:sz="0"/>
              <w:right w:val="none" w:color="FFFFFF" w:sz="0"/>
            </w:tcBorders>
          </w:tcPr>
          <w:p>
            <w:pPr>
              <w:jc w:val="center"/>
            </w:pPr>
            <w:r>
              <w:rPr>
                <w:rFonts w:ascii="Arial" w:cs="Arial" w:eastAsia="Arial" w:hAnsi="Arial"/>
                <w:b/>
                <w:bCs/>
                <w:color w:val="64748B"/>
                <w:sz w:val="17"/>
                <w:szCs w:val="17"/>
              </w:rPr>
              <w:t xml:space="preserve">LIBRARY</w:t>
            </w:r>
          </w:p>
        </w:tc>
      </w:tr>
      <w:tr>
        <w:tc>
          <w:tcPr>
            <w:tcW w:type="dxa" w:w="2880"/>
            <w:tcBorders>
              <w:top w:val="single" w:color="CBD5E1" w:sz="1"/>
              <w:left w:val="single" w:color="CBD5E1" w:sz="1"/>
              <w:bottom w:val="single" w:color="CBD5E1" w:sz="1"/>
              <w:right w:val="single" w:color="CBD5E1" w:sz="1"/>
            </w:tcBorders>
            <w:shd w:fill="F0F4FF" w:val="clear"/>
            <w:tcMar>
              <w:top w:type="dxa" w:w="100"/>
              <w:left w:type="dxa" w:w="120"/>
              <w:bottom w:type="dxa" w:w="100"/>
              <w:right w:type="dxa" w:w="120"/>
            </w:tcMar>
          </w:tcPr>
          <w:p>
            <w:pPr>
              <w:spacing w:after="60" w:before="0"/>
            </w:pPr>
            <w:r>
              <w:rPr>
                <w:rFonts w:ascii="Arial" w:cs="Arial" w:eastAsia="Arial" w:hAnsi="Arial"/>
                <w:b/>
                <w:bCs/>
                <w:color w:val="1035A0"/>
                <w:sz w:val="19"/>
                <w:szCs w:val="19"/>
              </w:rPr>
              <w:t xml:space="preserve">ag-grid-datatable</w:t>
            </w:r>
          </w:p>
          <w:p>
            <w:pPr>
              <w:spacing w:after="60" w:before="0"/>
            </w:pPr>
            <w:r>
              <w:rPr>
                <w:rFonts w:ascii="Arial" w:cs="Arial" w:eastAsia="Arial" w:hAnsi="Arial"/>
                <w:i/>
                <w:iCs/>
                <w:color w:val="64748B"/>
                <w:sz w:val="18"/>
                <w:szCs w:val="18"/>
              </w:rPr>
              <w:t xml:space="preserve">future: forms</w:t>
            </w:r>
          </w:p>
          <w:p>
            <w:pPr>
              <w:spacing w:after="0" w:before="0"/>
            </w:pPr>
            <w:r>
              <w:rPr>
                <w:rFonts w:ascii="Arial" w:cs="Arial" w:eastAsia="Arial" w:hAnsi="Arial"/>
                <w:i/>
                <w:iCs/>
                <w:color w:val="64748B"/>
                <w:sz w:val="18"/>
                <w:szCs w:val="18"/>
              </w:rPr>
              <w:t xml:space="preserve">future: routing</w:t>
            </w:r>
          </w:p>
        </w:tc>
        <w:tc>
          <w:tcPr>
            <w:tcW w:type="dxa" w:w="480"/>
            <w:tcBorders>
              <w:top w:val="none" w:color="FFFFFF" w:sz="0"/>
              <w:left w:val="none" w:color="FFFFFF" w:sz="0"/>
              <w:bottom w:val="none" w:color="FFFFFF" w:sz="0"/>
              <w:right w:val="none" w:color="FFFFFF" w:sz="0"/>
            </w:tcBorders>
          </w:tcPr>
          <w:p>
            <w:pPr>
              <w:spacing w:after="0" w:before="120"/>
              <w:jc w:val="center"/>
            </w:pPr>
            <w:r>
              <w:rPr>
                <w:rFonts w:ascii="Arial" w:cs="Arial" w:eastAsia="Arial" w:hAnsi="Arial"/>
                <w:color w:val="64748B"/>
                <w:sz w:val="24"/>
                <w:szCs w:val="24"/>
              </w:rPr>
              <w:t xml:space="preserve">→</w:t>
            </w:r>
          </w:p>
        </w:tc>
        <w:tc>
          <w:tcPr>
            <w:tcW w:type="dxa" w:w="2880"/>
            <w:tcBorders>
              <w:top w:val="single" w:color="CBD5E1" w:sz="1"/>
              <w:left w:val="single" w:color="CBD5E1" w:sz="1"/>
              <w:bottom w:val="single" w:color="CBD5E1" w:sz="1"/>
              <w:right w:val="single" w:color="CBD5E1" w:sz="1"/>
            </w:tcBorders>
            <w:shd w:fill="DCFCE7" w:val="clear"/>
            <w:tcMar>
              <w:top w:type="dxa" w:w="100"/>
              <w:left w:type="dxa" w:w="120"/>
              <w:bottom w:type="dxa" w:w="100"/>
              <w:right w:type="dxa" w:w="120"/>
            </w:tcMar>
          </w:tcPr>
          <w:p>
            <w:pPr>
              <w:spacing w:after="60" w:before="0"/>
            </w:pPr>
            <w:r>
              <w:rPr>
                <w:rFonts w:ascii="Arial" w:cs="Arial" w:eastAsia="Arial" w:hAnsi="Arial"/>
                <w:b/>
                <w:bCs/>
                <w:color w:val="166534"/>
                <w:sz w:val="19"/>
                <w:szCs w:val="19"/>
              </w:rPr>
              <w:t xml:space="preserve">ds/tokens/semantic</w:t>
            </w:r>
          </w:p>
          <w:p>
            <w:pPr>
              <w:spacing w:after="60" w:before="0"/>
            </w:pPr>
            <w:r>
              <w:rPr>
                <w:rFonts w:ascii="Arial" w:cs="Arial" w:eastAsia="Arial" w:hAnsi="Arial"/>
                <w:b/>
                <w:bCs/>
                <w:color w:val="166534"/>
                <w:sz w:val="19"/>
                <w:szCs w:val="19"/>
              </w:rPr>
              <w:t xml:space="preserve">ds/components/map</w:t>
            </w:r>
          </w:p>
          <w:p>
            <w:pPr>
              <w:spacing w:after="0" w:before="0"/>
            </w:pPr>
            <w:r>
              <w:rPr>
                <w:rFonts w:ascii="Arial" w:cs="Arial" w:eastAsia="Arial" w:hAnsi="Arial"/>
                <w:i/>
                <w:iCs/>
                <w:color w:val="64748B"/>
                <w:sz w:val="18"/>
                <w:szCs w:val="18"/>
              </w:rPr>
              <w:t xml:space="preserve">adapters/current →</w:t>
            </w:r>
          </w:p>
        </w:tc>
        <w:tc>
          <w:tcPr>
            <w:tcW w:type="dxa" w:w="480"/>
            <w:tcBorders>
              <w:top w:val="none" w:color="FFFFFF" w:sz="0"/>
              <w:left w:val="none" w:color="FFFFFF" w:sz="0"/>
              <w:bottom w:val="none" w:color="FFFFFF" w:sz="0"/>
              <w:right w:val="none" w:color="FFFFFF" w:sz="0"/>
            </w:tcBorders>
          </w:tcPr>
          <w:p>
            <w:pPr>
              <w:spacing w:after="0" w:before="120"/>
              <w:jc w:val="center"/>
            </w:pPr>
            <w:r>
              <w:rPr>
                <w:rFonts w:ascii="Arial" w:cs="Arial" w:eastAsia="Arial" w:hAnsi="Arial"/>
                <w:color w:val="64748B"/>
                <w:sz w:val="24"/>
                <w:szCs w:val="24"/>
              </w:rPr>
              <w:t xml:space="preserve">→</w:t>
            </w:r>
          </w:p>
        </w:tc>
        <w:tc>
          <w:tcPr>
            <w:tcW w:type="dxa" w:w="2640"/>
            <w:tcBorders>
              <w:top w:val="single" w:color="CBD5E1" w:sz="1"/>
              <w:left w:val="single" w:color="CBD5E1" w:sz="1"/>
              <w:bottom w:val="single" w:color="CBD5E1" w:sz="1"/>
              <w:right w:val="single" w:color="CBD5E1" w:sz="1"/>
            </w:tcBorders>
            <w:shd w:fill="F8FAFC" w:val="clear"/>
            <w:tcMar>
              <w:top w:type="dxa" w:w="100"/>
              <w:left w:type="dxa" w:w="120"/>
              <w:bottom w:type="dxa" w:w="100"/>
              <w:right w:type="dxa" w:w="120"/>
            </w:tcMar>
          </w:tcPr>
          <w:p>
            <w:pPr>
              <w:spacing w:after="60" w:before="0"/>
            </w:pPr>
            <w:r>
              <w:rPr>
                <w:rFonts w:ascii="Arial" w:cs="Arial" w:eastAsia="Arial" w:hAnsi="Arial"/>
                <w:b/>
                <w:bCs/>
                <w:color w:val="334155"/>
                <w:sz w:val="19"/>
                <w:szCs w:val="19"/>
              </w:rPr>
              <w:t xml:space="preserve">Angular Material</w:t>
            </w:r>
          </w:p>
          <w:p>
            <w:pPr>
              <w:spacing w:after="0" w:before="0"/>
            </w:pPr>
            <w:r>
              <w:rPr>
                <w:rFonts w:ascii="Arial" w:cs="Arial" w:eastAsia="Arial" w:hAnsi="Arial"/>
                <w:i/>
                <w:iCs/>
                <w:color w:val="166534"/>
                <w:sz w:val="18"/>
                <w:szCs w:val="18"/>
              </w:rPr>
              <w:t xml:space="preserve">→ Your DS (future)</w:t>
            </w:r>
          </w:p>
        </w:tc>
      </w:tr>
      <w:tr>
        <w:tc>
          <w:tcPr>
            <w:tcW w:type="dxa" w:w="9360"/>
            <w:tcBorders>
              <w:top w:val="none" w:color="FFFFFF" w:sz="0"/>
              <w:left w:val="none" w:color="FFFFFF" w:sz="0"/>
              <w:bottom w:val="none" w:color="FFFFFF" w:sz="0"/>
              <w:right w:val="none" w:color="FFFFFF" w:sz="0"/>
            </w:tcBorders>
          </w:tcPr>
          <w:p>
            <w:pPr>
              <w:spacing w:after="0" w:before="80"/>
              <w:jc w:val="center"/>
            </w:pPr>
            <w:r>
              <w:rPr>
                <w:rFonts w:ascii="Arial" w:cs="Arial" w:eastAsia="Arial" w:hAnsi="Arial"/>
                <w:i/>
                <w:iCs/>
                <w:color w:val="64748B"/>
                <w:sz w:val="18"/>
                <w:szCs w:val="18"/>
              </w:rPr>
              <w:t xml:space="preserve">Pattern specs never change when the library changes. Only the adapter layer changes.</w:t>
            </w:r>
          </w:p>
        </w:tc>
      </w:tr>
    </w:tbl>
    <w:p>
      <w:pPr>
        <w:spacing w:after="0" w:before="120"/>
      </w:pPr>
      <w:r>
        <w:t xml:space="preserve"/>
      </w:r>
    </w:p>
    <w:p>
      <w:pPr>
        <w:spacing w:after="80" w:before="80" w:line="340"/>
      </w:pPr>
      <w:r>
        <w:rPr>
          <w:rFonts w:ascii="Arial" w:cs="Arial" w:eastAsia="Arial" w:hAnsi="Arial"/>
          <w:b w:val="false"/>
          <w:bCs w:val="false"/>
          <w:i w:val="false"/>
          <w:iCs w:val="false"/>
          <w:color w:val="334155"/>
          <w:sz w:val="22"/>
          <w:szCs w:val="22"/>
        </w:rPr>
        <w:t xml:space="preserve">The SCSS adapter uses a symlink pattern: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r>
              <w:rPr>
                <w:rFonts w:ascii="Courier New" w:cs="Courier New" w:eastAsia="Courier New" w:hAnsi="Courier New"/>
                <w:color w:val="4ADE80"/>
                <w:sz w:val="19"/>
                <w:szCs w:val="19"/>
              </w:rPr>
              <w:t xml:space="preserve">adapters/current  →  adapters/material-v3   (today)</w:t>
            </w:r>
          </w:p>
          <w:p>
            <w:r>
              <w:rPr>
                <w:rFonts w:ascii="Courier New" w:cs="Courier New" w:eastAsia="Courier New" w:hAnsi="Courier New"/>
                <w:color w:val="93C5FD"/>
                <w:sz w:val="19"/>
                <w:szCs w:val="19"/>
              </w:rPr>
              <w:t xml:space="preserve">adapters/current  →  adapters/[your-ds]     (when DS ships)</w:t>
            </w:r>
          </w:p>
        </w:tc>
      </w:tr>
    </w:tbl>
    <w:p>
      <w:pPr>
        <w:spacing w:after="0" w:before="100"/>
      </w:pPr>
      <w:r>
        <w:t xml:space="preserve"/>
      </w:r>
    </w:p>
    <w:p>
      <w:pPr>
        <w:spacing w:after="80" w:before="80" w:line="340"/>
      </w:pPr>
      <w:r>
        <w:rPr>
          <w:rFonts w:ascii="Arial" w:cs="Arial" w:eastAsia="Arial" w:hAnsi="Arial"/>
          <w:b w:val="false"/>
          <w:bCs w:val="false"/>
          <w:i w:val="false"/>
          <w:iCs w:val="false"/>
          <w:color w:val="334155"/>
          <w:sz w:val="22"/>
          <w:szCs w:val="22"/>
        </w:rPr>
        <w:t xml:space="preserve">All feature components resolve tokens through @company/spec-tokens/*, which points to adapters/current. Updating the symlink is the DS migration. No pattern spec changes. No feature component changes. No coordinated team effort required.</w:t>
      </w:r>
    </w:p>
    <w:p>
      <w:pPr>
        <w:spacing w:after="0" w:before="160"/>
      </w:pPr>
      <w:r>
        <w:t xml:space="preserve"/>
      </w:r>
    </w:p>
    <w:p>
      <w:r>
        <w:br w:type="page"/>
      </w:r>
    </w:p>
    <w:p>
      <w:pPr>
        <w:pStyle w:val="Heading1"/>
        <w:spacing w:after="160" w:before="440"/>
      </w:pPr>
      <w:r>
        <w:rPr>
          <w:rFonts w:ascii="Arial" w:cs="Arial" w:eastAsia="Arial" w:hAnsi="Arial"/>
          <w:b/>
          <w:bCs/>
          <w:color w:val="0F172A"/>
          <w:sz w:val="34"/>
          <w:szCs w:val="34"/>
        </w:rPr>
        <w:t xml:space="preserve">Built for DS Migration</w:t>
      </w:r>
    </w:p>
    <w:p>
      <w:pPr>
        <w:spacing w:after="80" w:before="80" w:line="340"/>
      </w:pPr>
      <w:r>
        <w:rPr>
          <w:rFonts w:ascii="Arial" w:cs="Arial" w:eastAsia="Arial" w:hAnsi="Arial"/>
          <w:b w:val="false"/>
          <w:bCs w:val="false"/>
          <w:i w:val="false"/>
          <w:iCs w:val="false"/>
          <w:color w:val="334155"/>
          <w:sz w:val="22"/>
          <w:szCs w:val="22"/>
        </w:rPr>
        <w:t xml:space="preserve">The adapter layer was designed with a specific future in mind: when our internal Design System ships, the migration should be low-risk, low-effort, and fully within the platform team's control — not a coordinated effort across 15 teams.</w:t>
      </w:r>
    </w:p>
    <w:p>
      <w:pPr>
        <w:spacing w:after="0" w:before="120"/>
      </w:pPr>
      <w:r>
        <w:t xml:space="preserve"/>
      </w:r>
    </w:p>
    <w:p>
      <w:pPr>
        <w:pStyle w:val="Heading2"/>
        <w:pBdr>
          <w:bottom w:val="single" w:color="E2E8F0" w:sz="4" w:space="4"/>
        </w:pBdr>
        <w:spacing w:after="120" w:before="340"/>
      </w:pPr>
      <w:r>
        <w:rPr>
          <w:rFonts w:ascii="Arial" w:cs="Arial" w:eastAsia="Arial" w:hAnsi="Arial"/>
          <w:b/>
          <w:bCs/>
          <w:color w:val="0F172A"/>
          <w:sz w:val="26"/>
          <w:szCs w:val="26"/>
        </w:rPr>
        <w:t xml:space="preserve">What changes when our DS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Artifact</w:t>
            </w:r>
          </w:p>
        </w:tc>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Changes?</w:t>
            </w:r>
          </w:p>
        </w:tc>
        <w:tc>
          <w:tcPr>
            <w:tcW w:type="dxa" w:w="234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Who makes the change</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adapters/[ds-name]/ SCSS files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66534"/>
                <w:sz w:val="20"/>
                <w:szCs w:val="20"/>
              </w:rPr>
              <w:t xml:space="preserve">Created (new)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UI Architecture</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adapters/current symlink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854D0E"/>
                <w:sz w:val="20"/>
                <w:szCs w:val="20"/>
              </w:rPr>
              <w:t xml:space="preserve">Updated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UI Architecture</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ds/tokens/semantic.spec.md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854D0E"/>
                <w:sz w:val="20"/>
                <w:szCs w:val="20"/>
              </w:rPr>
              <w:t xml:space="preserve">Updated (mappings)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UI Architecture</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ds/components/component-map.spec.md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854D0E"/>
                <w:sz w:val="20"/>
                <w:szCs w:val="20"/>
              </w:rPr>
              <w:t xml:space="preserve">Updated (mappings)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UI Architecture</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Pattern specs (ag-grid, forms, etc.)</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66534"/>
                <w:sz w:val="20"/>
                <w:szCs w:val="20"/>
              </w:rPr>
              <w:t xml:space="preserve">No change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Agent system prompt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66534"/>
                <w:sz w:val="20"/>
                <w:szCs w:val="20"/>
              </w:rPr>
              <w:t xml:space="preserve">No change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Feature component code (generated)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66534"/>
                <w:sz w:val="20"/>
                <w:szCs w:val="20"/>
              </w:rPr>
              <w:t xml:space="preserve">Re-generates on next cycle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Each team, own schedule</w:t>
            </w:r>
          </w:p>
        </w:tc>
      </w:tr>
      <w:tr>
        <w:trPr>
          <w:tblHeader w:val="false"/>
        </w:trP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Registry, linter, CLI tooling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66534"/>
                <w:sz w:val="20"/>
                <w:szCs w:val="20"/>
              </w:rPr>
              <w:t xml:space="preserve">No change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20"/>
              <w:bottom w:val="none" w:color="FFFFFF" w:sz="0"/>
              <w:right w:val="none" w:color="FFFFFF" w:sz="0"/>
            </w:tcBorders>
            <w:shd w:fill="DCFCE7" w:val="clear"/>
            <w:tcMar>
              <w:top w:type="dxa" w:w="100"/>
              <w:left w:type="dxa" w:w="200"/>
              <w:bottom w:type="dxa" w:w="100"/>
              <w:right w:type="dxa" w:w="160"/>
            </w:tcMar>
          </w:tcPr>
          <w:p>
            <w:pPr>
              <w:spacing w:after="60" w:before="0"/>
            </w:pPr>
            <w:r>
              <w:rPr>
                <w:rFonts w:ascii="Arial" w:cs="Arial" w:eastAsia="Arial" w:hAnsi="Arial"/>
                <w:b/>
                <w:bCs/>
                <w:color w:val="166534"/>
                <w:sz w:val="18"/>
                <w:szCs w:val="18"/>
              </w:rPr>
              <w:t xml:space="preserve">THE MIGRATION</w:t>
            </w:r>
          </w:p>
          <w:p>
            <w:pPr>
              <w:spacing w:after="0" w:before="0"/>
            </w:pPr>
            <w:r>
              <w:rPr>
                <w:rFonts w:ascii="Arial" w:cs="Arial" w:eastAsia="Arial" w:hAnsi="Arial"/>
                <w:color w:val="334155"/>
                <w:sz w:val="20"/>
                <w:szCs w:val="20"/>
              </w:rPr>
              <w:t xml:space="preserve">The DS-SWAP-GUIDE.md in the framework repo walks through the complete seven-step process, including a token mapping worksheet. The entire migration is executable by the UI Architecture team alone — no cross-team coordination required.</w:t>
            </w:r>
          </w:p>
        </w:tc>
      </w:tr>
    </w:tbl>
    <w:p>
      <w:pPr>
        <w:spacing w:after="0" w:before="160"/>
      </w:pPr>
      <w:r>
        <w:t xml:space="preserve"/>
      </w:r>
    </w:p>
    <w:p>
      <w:r>
        <w:br w:type="page"/>
      </w:r>
    </w:p>
    <w:p>
      <w:pPr>
        <w:pStyle w:val="Heading1"/>
        <w:spacing w:after="160" w:before="440"/>
      </w:pPr>
      <w:r>
        <w:rPr>
          <w:rFonts w:ascii="Arial" w:cs="Arial" w:eastAsia="Arial" w:hAnsi="Arial"/>
          <w:b/>
          <w:bCs/>
          <w:color w:val="0F172A"/>
          <w:sz w:val="34"/>
          <w:szCs w:val="34"/>
        </w:rPr>
        <w:t xml:space="preserve">Long-Term Adaptability</w:t>
      </w:r>
    </w:p>
    <w:p>
      <w:pPr>
        <w:spacing w:after="80" w:before="80" w:line="340"/>
      </w:pPr>
      <w:r>
        <w:rPr>
          <w:rFonts w:ascii="Arial" w:cs="Arial" w:eastAsia="Arial" w:hAnsi="Arial"/>
          <w:b w:val="false"/>
          <w:bCs w:val="false"/>
          <w:i w:val="false"/>
          <w:iCs w:val="false"/>
          <w:color w:val="334155"/>
          <w:sz w:val="22"/>
          <w:szCs w:val="22"/>
        </w:rPr>
        <w:t xml:space="preserve">A framework that doesn't evolve becomes a documentation graveyard. Three mechanisms keep the spec framework healthy as architecture and UX decisions change over time.</w:t>
      </w:r>
    </w:p>
    <w:p>
      <w:pPr>
        <w:spacing w:after="0" w:before="120"/>
      </w:pPr>
      <w:r>
        <w:t xml:space="preserve"/>
      </w:r>
    </w:p>
    <w:p>
      <w:pPr>
        <w:pStyle w:val="Heading2"/>
        <w:pBdr>
          <w:bottom w:val="single" w:color="E2E8F0" w:sz="4" w:space="4"/>
        </w:pBdr>
        <w:spacing w:after="120" w:before="340"/>
      </w:pPr>
      <w:r>
        <w:rPr>
          <w:rFonts w:ascii="Arial" w:cs="Arial" w:eastAsia="Arial" w:hAnsi="Arial"/>
          <w:b/>
          <w:bCs/>
          <w:color w:val="0F172A"/>
          <w:sz w:val="26"/>
          <w:szCs w:val="26"/>
        </w:rPr>
        <w:t xml:space="preserve">1. design.md — decision memory</w:t>
      </w:r>
    </w:p>
    <w:p>
      <w:pPr>
        <w:spacing w:after="80" w:before="80" w:line="340"/>
      </w:pPr>
      <w:r>
        <w:rPr>
          <w:rFonts w:ascii="Arial" w:cs="Arial" w:eastAsia="Arial" w:hAnsi="Arial"/>
          <w:b w:val="false"/>
          <w:bCs w:val="false"/>
          <w:i w:val="false"/>
          <w:iCs w:val="false"/>
          <w:color w:val="334155"/>
          <w:sz w:val="22"/>
          <w:szCs w:val="22"/>
        </w:rPr>
        <w:t xml:space="preserve">Each spec has an optional companion design.md that captures what the spec intentionally excludes: the reasoning behind decisions, alternatives that were considered and rejected, and explicit statements of what would cause the spec to need revision. This is the long-term memory of the framework.</w:t>
      </w:r>
    </w:p>
    <w:p>
      <w:pPr>
        <w:spacing w:after="0" w:before="80"/>
      </w:pPr>
      <w:r>
        <w:t xml:space="preserve"/>
      </w:r>
    </w:p>
    <w:p>
      <w:pPr>
        <w:spacing w:after="80" w:before="80" w:line="340"/>
      </w:pPr>
      <w:r>
        <w:rPr>
          <w:rFonts w:ascii="Arial" w:cs="Arial" w:eastAsia="Arial" w:hAnsi="Arial"/>
          <w:b w:val="false"/>
          <w:bCs w:val="false"/>
          <w:i w:val="false"/>
          <w:iCs w:val="false"/>
          <w:color w:val="334155"/>
          <w:sz w:val="22"/>
          <w:szCs w:val="22"/>
        </w:rPr>
        <w:t xml:space="preserve">Without it, context gets lost. Two years from now someone asks 'why don't we use autoHeight?' and without the design doc, that decision gets relitigated from scratch. With it, the reasoning is preserved and the spec can be challenged on its merits rather than its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20"/>
              <w:bottom w:val="none" w:color="FFFFFF" w:sz="0"/>
              <w:right w:val="none" w:color="FFFFFF" w:sz="0"/>
            </w:tcBorders>
            <w:shd w:fill="F0F4FF" w:val="clear"/>
            <w:tcMar>
              <w:top w:type="dxa" w:w="100"/>
              <w:left w:type="dxa" w:w="200"/>
              <w:bottom w:type="dxa" w:w="100"/>
              <w:right w:type="dxa" w:w="160"/>
            </w:tcMar>
          </w:tcPr>
          <w:p>
            <w:pPr>
              <w:spacing w:after="60" w:before="0"/>
            </w:pPr>
            <w:r>
              <w:rPr>
                <w:rFonts w:ascii="Arial" w:cs="Arial" w:eastAsia="Arial" w:hAnsi="Arial"/>
                <w:b/>
                <w:bCs/>
                <w:color w:val="1035A0"/>
                <w:sz w:val="18"/>
                <w:szCs w:val="18"/>
              </w:rPr>
              <w:t xml:space="preserve">DECISION ANCHORS</w:t>
            </w:r>
          </w:p>
          <w:p>
            <w:pPr>
              <w:spacing w:after="0" w:before="0"/>
            </w:pPr>
            <w:r>
              <w:rPr>
                <w:rFonts w:ascii="Arial" w:cs="Arial" w:eastAsia="Arial" w:hAnsi="Arial"/>
                <w:color w:val="334155"/>
                <w:sz w:val="20"/>
                <w:szCs w:val="20"/>
              </w:rPr>
              <w:t xml:space="preserve">Each design.md should contain explicit tripwires — statements like 'this spec assumes DS tokens follow the v3 naming convention. If the token architecture changes, this spec needs a full review.' These anchors become searchable signals when things change.</w:t>
            </w:r>
          </w:p>
        </w:tc>
      </w:tr>
    </w:tbl>
    <w:p>
      <w:pPr>
        <w:spacing w:after="0" w:before="120"/>
      </w:pPr>
      <w:r>
        <w:t xml:space="preserve"/>
      </w:r>
    </w:p>
    <w:p>
      <w:pPr>
        <w:pStyle w:val="Heading2"/>
        <w:pBdr>
          <w:bottom w:val="single" w:color="E2E8F0" w:sz="4" w:space="4"/>
        </w:pBdr>
        <w:spacing w:after="120" w:before="340"/>
      </w:pPr>
      <w:r>
        <w:rPr>
          <w:rFonts w:ascii="Arial" w:cs="Arial" w:eastAsia="Arial" w:hAnsi="Arial"/>
          <w:b/>
          <w:bCs/>
          <w:color w:val="0F172A"/>
          <w:sz w:val="26"/>
          <w:szCs w:val="26"/>
        </w:rPr>
        <w:t xml:space="preserve">2. Registry dependencies — change propagation</w:t>
      </w:r>
    </w:p>
    <w:p>
      <w:pPr>
        <w:spacing w:after="80" w:before="80" w:line="340"/>
      </w:pPr>
      <w:r>
        <w:rPr>
          <w:rFonts w:ascii="Arial" w:cs="Arial" w:eastAsia="Arial" w:hAnsi="Arial"/>
          <w:b w:val="false"/>
          <w:bCs w:val="false"/>
          <w:i w:val="false"/>
          <w:iCs w:val="false"/>
          <w:color w:val="334155"/>
          <w:sz w:val="22"/>
          <w:szCs w:val="22"/>
        </w:rPr>
        <w:t xml:space="preserve">The registry's dependsOn field (planned for v1.2) allows specs to declare explicit dependencies — 'this spec depends on DS token architecture v3' or 'this spec depends on the auth integration pattern.' When something in the dependency chain changes, the registry surfaces all affected specs automatically, turning a vague 'we should probably update specs' into a concrete, trackable list.</w:t>
      </w:r>
    </w:p>
    <w:p>
      <w:pPr>
        <w:spacing w:after="0" w:before="80"/>
      </w:pPr>
      <w:r>
        <w:t xml:space="preserve"/>
      </w:r>
    </w:p>
    <w:p>
      <w:pPr>
        <w:spacing w:after="80" w:before="80" w:line="340"/>
      </w:pPr>
      <w:r>
        <w:rPr>
          <w:rFonts w:ascii="Arial" w:cs="Arial" w:eastAsia="Arial" w:hAnsi="Arial"/>
          <w:b w:val="false"/>
          <w:bCs w:val="false"/>
          <w:i w:val="false"/>
          <w:iCs w:val="false"/>
          <w:color w:val="334155"/>
          <w:sz w:val="22"/>
          <w:szCs w:val="22"/>
        </w:rPr>
        <w:t xml:space="preserve">Combined with a CI trigger — when a DS package version bumps in the monorepo, draft PRs are opened for all dependent specs — the framework self-signals drift rather than waiting for someone to notice it.</w:t>
      </w:r>
    </w:p>
    <w:p>
      <w:pPr>
        <w:spacing w:after="0" w:before="120"/>
      </w:pPr>
      <w:r>
        <w:t xml:space="preserve"/>
      </w:r>
    </w:p>
    <w:p>
      <w:pPr>
        <w:pStyle w:val="Heading2"/>
        <w:pBdr>
          <w:bottom w:val="single" w:color="E2E8F0" w:sz="4" w:space="4"/>
        </w:pBdr>
        <w:spacing w:after="120" w:before="340"/>
      </w:pPr>
      <w:r>
        <w:rPr>
          <w:rFonts w:ascii="Arial" w:cs="Arial" w:eastAsia="Arial" w:hAnsi="Arial"/>
          <w:b/>
          <w:bCs/>
          <w:color w:val="0F172A"/>
          <w:sz w:val="26"/>
          <w:szCs w:val="26"/>
        </w:rPr>
        <w:t xml:space="preserve">3. Quarterly spec review cadence</w:t>
      </w:r>
    </w:p>
    <w:p>
      <w:pPr>
        <w:spacing w:after="80" w:before="80" w:line="340"/>
      </w:pPr>
      <w:r>
        <w:rPr>
          <w:rFonts w:ascii="Arial" w:cs="Arial" w:eastAsia="Arial" w:hAnsi="Arial"/>
          <w:b w:val="false"/>
          <w:bCs w:val="false"/>
          <w:i w:val="false"/>
          <w:iCs w:val="false"/>
          <w:color w:val="334155"/>
          <w:sz w:val="22"/>
          <w:szCs w:val="22"/>
        </w:rPr>
        <w:t xml:space="preserve">Each spec owner reviews their spec quarterly against the current DS, architecture, and UX direction. It's not a large lift — 30 minutes per spec — but without it being a real calendar event with accountability, specs quietly age. The quarterly cadence also functions as a cross-team architectural alignment moment: if three specs all need the same kind of update, that's a pattern worth surfacing upward.</w:t>
      </w:r>
    </w:p>
    <w:p>
      <w:pPr>
        <w:spacing w:after="0" w:before="160"/>
      </w:pPr>
      <w:r>
        <w:t xml:space="preserve"/>
      </w:r>
    </w:p>
    <w:p>
      <w:r>
        <w:br w:type="page"/>
      </w:r>
    </w:p>
    <w:p>
      <w:pPr>
        <w:pStyle w:val="Heading1"/>
        <w:spacing w:after="160" w:before="440"/>
      </w:pPr>
      <w:r>
        <w:rPr>
          <w:rFonts w:ascii="Arial" w:cs="Arial" w:eastAsia="Arial" w:hAnsi="Arial"/>
          <w:b/>
          <w:bCs/>
          <w:color w:val="0F172A"/>
          <w:sz w:val="34"/>
          <w:szCs w:val="34"/>
        </w:rPr>
        <w:t xml:space="preserve">Industry Context</w:t>
      </w:r>
    </w:p>
    <w:p>
      <w:pPr>
        <w:spacing w:after="80" w:before="80" w:line="340"/>
      </w:pPr>
      <w:r>
        <w:rPr>
          <w:rFonts w:ascii="Arial" w:cs="Arial" w:eastAsia="Arial" w:hAnsi="Arial"/>
          <w:b w:val="false"/>
          <w:bCs w:val="false"/>
          <w:i w:val="false"/>
          <w:iCs w:val="false"/>
          <w:color w:val="334155"/>
          <w:sz w:val="22"/>
          <w:szCs w:val="22"/>
        </w:rPr>
        <w:t xml:space="preserve">This approach doesn't exist as a published framework anywhere — but several adjacent movements are converging on the same idea from different directions.</w:t>
      </w:r>
    </w:p>
    <w:p>
      <w:pPr>
        <w:spacing w:after="0" w:before="120"/>
      </w:pPr>
      <w:r>
        <w:t xml:space="preserve"/>
      </w:r>
    </w:p>
    <w:p>
      <w:pPr>
        <w:pStyle w:val="Heading2"/>
        <w:pBdr>
          <w:bottom w:val="single" w:color="E2E8F0" w:sz="4" w:space="4"/>
        </w:pBdr>
        <w:spacing w:after="120" w:before="340"/>
      </w:pPr>
      <w:r>
        <w:rPr>
          <w:rFonts w:ascii="Arial" w:cs="Arial" w:eastAsia="Arial" w:hAnsi="Arial"/>
          <w:b/>
          <w:bCs/>
          <w:color w:val="0F172A"/>
          <w:sz w:val="26"/>
          <w:szCs w:val="26"/>
        </w:rPr>
        <w:t xml:space="preserve">Where others are 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Organization / Concept</w:t>
            </w:r>
          </w:p>
        </w:tc>
        <w:tc>
          <w:tcPr>
            <w:tcW w:type="dxa" w:w="69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Parallel</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Shopify Polaris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Progressively separates the token layer from the component layer — the same abstraction as our adapter specs. Not yet AI-driven, but the architecture anticipates it.</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Spotify Backstage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centralized, governed registry of internal capabilities that teams pull from rather than independently invent. Our registry.json is the same concept scoped to implementation patterns.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Microsoft / GitHub</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Investing in 'developer experience specifications' — structured documents that Copilot is prompted against. Largely internal, not publicly documented as a framework.</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.cursorrules / CLAUDE.md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grassroots version of this idea — teams putting structured context files in repos for agent consistency. Our framework is the governed, versioned, multi-team evolution of that pattern.</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Context engineering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 emerging discipline recognizing that AI output quality is primarily an information architecture problem. Our spec framework is a rigorous enterprise implementation of this principle.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20"/>
              <w:bottom w:val="none" w:color="FFFFFF" w:sz="0"/>
              <w:right w:val="none" w:color="FFFFFF" w:sz="0"/>
            </w:tcBorders>
            <w:shd w:fill="F5F3FF" w:val="clear"/>
            <w:tcMar>
              <w:top w:type="dxa" w:w="100"/>
              <w:left w:type="dxa" w:w="200"/>
              <w:bottom w:type="dxa" w:w="100"/>
              <w:right w:type="dxa" w:w="160"/>
            </w:tcMar>
          </w:tcPr>
          <w:p>
            <w:pPr>
              <w:spacing w:after="60" w:before="0"/>
            </w:pPr>
            <w:r>
              <w:rPr>
                <w:rFonts w:ascii="Arial" w:cs="Arial" w:eastAsia="Arial" w:hAnsi="Arial"/>
                <w:b/>
                <w:bCs/>
                <w:color w:val="5B21B6"/>
                <w:sz w:val="18"/>
                <w:szCs w:val="18"/>
              </w:rPr>
              <w:t xml:space="preserve">WHAT'S GENUINELY NOVEL</w:t>
            </w:r>
          </w:p>
          <w:p>
            <w:pPr>
              <w:spacing w:after="0" w:before="0"/>
            </w:pPr>
            <w:r>
              <w:rPr>
                <w:rFonts w:ascii="Arial" w:cs="Arial" w:eastAsia="Arial" w:hAnsi="Arial"/>
                <w:color w:val="334155"/>
                <w:sz w:val="20"/>
                <w:szCs w:val="20"/>
              </w:rPr>
              <w:t xml:space="preserve">The combination of semantic adapter layer + agent output contract + spec linter + registry + feedback loop doesn't exist as a published framework. The pieces exist separately. We're assembling them specifically for AI-driven enterprise Angular development — and building in DS-migration readiness from the start.</w:t>
            </w:r>
          </w:p>
        </w:tc>
      </w:tr>
    </w:tbl>
    <w:p>
      <w:pPr>
        <w:spacing w:after="0" w:before="160"/>
      </w:pPr>
      <w:r>
        <w:t xml:space="preserve"/>
      </w:r>
    </w:p>
    <w:p>
      <w:r>
        <w:br w:type="page"/>
      </w:r>
    </w:p>
    <w:p>
      <w:pPr>
        <w:pStyle w:val="Heading1"/>
        <w:spacing w:after="160" w:before="440"/>
      </w:pPr>
      <w:r>
        <w:rPr>
          <w:rFonts w:ascii="Arial" w:cs="Arial" w:eastAsia="Arial" w:hAnsi="Arial"/>
          <w:b/>
          <w:bCs/>
          <w:color w:val="0F172A"/>
          <w:sz w:val="34"/>
          <w:szCs w:val="34"/>
        </w:rPr>
        <w:t xml:space="preserve">Rollout Plan</w:t>
      </w:r>
    </w:p>
    <w:p>
      <w:pPr>
        <w:spacing w:after="80" w:before="80" w:line="340"/>
      </w:pPr>
      <w:r>
        <w:rPr>
          <w:rFonts w:ascii="Arial" w:cs="Arial" w:eastAsia="Arial" w:hAnsi="Arial"/>
          <w:b w:val="false"/>
          <w:bCs w:val="false"/>
          <w:i w:val="false"/>
          <w:iCs w:val="false"/>
          <w:color w:val="334155"/>
          <w:sz w:val="22"/>
          <w:szCs w:val="22"/>
        </w:rPr>
        <w:t xml:space="preserve">Four phases, prioritizing quality of a small number of high-impact specs over rapid breadth expansion. The framework earns legitimacy through demonstrated quality, not mandate.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56DB" w:val="clear"/>
            <w:tcMar>
              <w:top w:type="dxa" w:w="140"/>
              <w:left w:type="dxa" w:w="180"/>
              <w:bottom w:type="dxa" w:w="140"/>
              <w:right w:type="dxa" w:w="180"/>
            </w:tcMar>
            <w:vAlign w:val="center"/>
          </w:tcPr>
          <w:p>
            <w:pPr>
              <w:spacing w:after="40" w:before="0"/>
              <w:jc w:val="center"/>
            </w:pPr>
            <w:r>
              <w:rPr>
                <w:rFonts w:ascii="Arial" w:cs="Arial" w:eastAsia="Arial" w:hAnsi="Arial"/>
                <w:b/>
                <w:bCs/>
                <w:color w:val="FFFFFF"/>
                <w:sz w:val="18"/>
                <w:szCs w:val="18"/>
              </w:rPr>
              <w:t xml:space="preserve">Phase 1</w:t>
            </w:r>
          </w:p>
          <w:p>
            <w:pPr>
              <w:spacing w:after="0" w:before="0"/>
              <w:jc w:val="center"/>
            </w:pPr>
            <w:r>
              <w:rPr>
                <w:rFonts w:ascii="Arial" w:cs="Arial" w:eastAsia="Arial" w:hAnsi="Arial"/>
                <w:color w:val="93C5FD"/>
                <w:sz w:val="16"/>
                <w:szCs w:val="16"/>
              </w:rPr>
              <w:t xml:space="preserve">Weeks 1–3</w:t>
            </w:r>
          </w:p>
        </w:tc>
        <w:tc>
          <w:tcPr>
            <w:tcW w:type="dxa" w:w="7920"/>
            <w:tcBorders>
              <w:top w:val="none" w:color="FFFFFF" w:sz="0"/>
              <w:left w:val="none" w:color="FFFFFF" w:sz="0"/>
              <w:bottom w:val="none" w:color="FFFFFF" w:sz="0"/>
              <w:right w:val="none" w:color="FFFFFF" w:sz="0"/>
            </w:tcBorders>
            <w:shd w:fill="F0F4FF" w:val="clear"/>
            <w:tcMar>
              <w:top w:type="dxa" w:w="120"/>
              <w:left w:type="dxa" w:w="200"/>
              <w:bottom w:type="dxa" w:w="120"/>
              <w:right w:type="dxa" w:w="160"/>
            </w:tcMar>
          </w:tcPr>
          <w:p>
            <w:pPr>
              <w:spacing w:after="80" w:before="0"/>
            </w:pPr>
            <w:r>
              <w:rPr>
                <w:rFonts w:ascii="Arial" w:cs="Arial" w:eastAsia="Arial" w:hAnsi="Arial"/>
                <w:b/>
                <w:bCs/>
                <w:color w:val="0F172A"/>
                <w:sz w:val="22"/>
                <w:szCs w:val="22"/>
              </w:rPr>
              <w:t xml:space="preserve">Foundation</w:t>
            </w:r>
          </w:p>
          <w:p>
            <w:pPr>
              <w:pStyle w:val="ListParagraph"/>
              <w:numPr>
                <w:ilvl w:val="0"/>
                <w:numId w:val="2"/>
              </w:numPr>
              <w:spacing w:after="20" w:before="20"/>
            </w:pPr>
            <w:r>
              <w:rPr>
                <w:rFonts w:ascii="Arial" w:cs="Arial" w:eastAsia="Arial" w:hAnsi="Arial"/>
                <w:color w:val="334155"/>
                <w:sz w:val="20"/>
                <w:szCs w:val="20"/>
              </w:rPr>
              <w:t xml:space="preserve">Publish the meta-spec template and governance guide</w:t>
            </w:r>
          </w:p>
          <w:p>
            <w:pPr>
              <w:pStyle w:val="ListParagraph"/>
              <w:numPr>
                <w:ilvl w:val="0"/>
                <w:numId w:val="2"/>
              </w:numPr>
              <w:spacing w:after="20" w:before="20"/>
            </w:pPr>
            <w:r>
              <w:rPr>
                <w:rFonts w:ascii="Arial" w:cs="Arial" w:eastAsia="Arial" w:hAnsi="Arial"/>
                <w:color w:val="334155"/>
                <w:sz w:val="20"/>
                <w:szCs w:val="20"/>
              </w:rPr>
              <w:t xml:space="preserve">Establish the spec repo with registry, linter, and CODEOWNERS</w:t>
            </w:r>
          </w:p>
          <w:p>
            <w:pPr>
              <w:pStyle w:val="ListParagraph"/>
              <w:numPr>
                <w:ilvl w:val="0"/>
                <w:numId w:val="2"/>
              </w:numPr>
              <w:spacing w:after="20" w:before="20"/>
            </w:pPr>
            <w:r>
              <w:rPr>
                <w:rFonts w:ascii="Arial" w:cs="Arial" w:eastAsia="Arial" w:hAnsi="Arial"/>
                <w:color w:val="334155"/>
                <w:sz w:val="20"/>
                <w:szCs w:val="20"/>
              </w:rPr>
              <w:t xml:space="preserve">ag-grid-datatable spec (v2 with adapter layer) as the reference implementation</w:t>
            </w:r>
          </w:p>
          <w:p>
            <w:pPr>
              <w:pStyle w:val="ListParagraph"/>
              <w:numPr>
                <w:ilvl w:val="0"/>
                <w:numId w:val="2"/>
              </w:numPr>
              <w:spacing w:after="20" w:before="20"/>
            </w:pPr>
            <w:r>
              <w:rPr>
                <w:rFonts w:ascii="Arial" w:cs="Arial" w:eastAsia="Arial" w:hAnsi="Arial"/>
                <w:color w:val="334155"/>
                <w:sz w:val="20"/>
                <w:szCs w:val="20"/>
              </w:rPr>
              <w:t xml:space="preserve">Publish AGENT.system-prompt.md and Copilot slash commands to all teams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56DB" w:val="clear"/>
            <w:tcMar>
              <w:top w:type="dxa" w:w="140"/>
              <w:left w:type="dxa" w:w="180"/>
              <w:bottom w:type="dxa" w:w="140"/>
              <w:right w:type="dxa" w:w="180"/>
            </w:tcMar>
            <w:vAlign w:val="center"/>
          </w:tcPr>
          <w:p>
            <w:pPr>
              <w:spacing w:after="40" w:before="0"/>
              <w:jc w:val="center"/>
            </w:pPr>
            <w:r>
              <w:rPr>
                <w:rFonts w:ascii="Arial" w:cs="Arial" w:eastAsia="Arial" w:hAnsi="Arial"/>
                <w:b/>
                <w:bCs/>
                <w:color w:val="FFFFFF"/>
                <w:sz w:val="18"/>
                <w:szCs w:val="18"/>
              </w:rPr>
              <w:t xml:space="preserve">Phase 2</w:t>
            </w:r>
          </w:p>
          <w:p>
            <w:pPr>
              <w:spacing w:after="0" w:before="0"/>
              <w:jc w:val="center"/>
            </w:pPr>
            <w:r>
              <w:rPr>
                <w:rFonts w:ascii="Arial" w:cs="Arial" w:eastAsia="Arial" w:hAnsi="Arial"/>
                <w:color w:val="93C5FD"/>
                <w:sz w:val="16"/>
                <w:szCs w:val="16"/>
              </w:rPr>
              <w:t xml:space="preserve">Weeks 4–8</w:t>
            </w:r>
          </w:p>
        </w:tc>
        <w:tc>
          <w:tcPr>
            <w:tcW w:type="dxa" w:w="7920"/>
            <w:tcBorders>
              <w:top w:val="none" w:color="FFFFFF" w:sz="0"/>
              <w:left w:val="none" w:color="FFFFFF" w:sz="0"/>
              <w:bottom w:val="none" w:color="FFFFFF" w:sz="0"/>
              <w:right w:val="none" w:color="FFFFFF" w:sz="0"/>
            </w:tcBorders>
            <w:shd w:fill="F0F4FF" w:val="clear"/>
            <w:tcMar>
              <w:top w:type="dxa" w:w="120"/>
              <w:left w:type="dxa" w:w="200"/>
              <w:bottom w:type="dxa" w:w="120"/>
              <w:right w:type="dxa" w:w="160"/>
            </w:tcMar>
          </w:tcPr>
          <w:p>
            <w:pPr>
              <w:spacing w:after="80" w:before="0"/>
            </w:pPr>
            <w:r>
              <w:rPr>
                <w:rFonts w:ascii="Arial" w:cs="Arial" w:eastAsia="Arial" w:hAnsi="Arial"/>
                <w:b/>
                <w:bCs/>
                <w:color w:val="0F172A"/>
                <w:sz w:val="22"/>
                <w:szCs w:val="22"/>
              </w:rPr>
              <w:t xml:space="preserve">Core Patterns</w:t>
            </w:r>
          </w:p>
          <w:p>
            <w:pPr>
              <w:pStyle w:val="ListParagraph"/>
              <w:numPr>
                <w:ilvl w:val="0"/>
                <w:numId w:val="2"/>
              </w:numPr>
              <w:spacing w:after="20" w:before="20"/>
            </w:pPr>
            <w:r>
              <w:rPr>
                <w:rFonts w:ascii="Arial" w:cs="Arial" w:eastAsia="Arial" w:hAnsi="Arial"/>
                <w:color w:val="334155"/>
                <w:sz w:val="20"/>
                <w:szCs w:val="20"/>
              </w:rPr>
              <w:t xml:space="preserve">Author specs for the 3–5 highest-volume patterns: reactive forms, auth integration, shell layout</w:t>
            </w:r>
          </w:p>
          <w:p>
            <w:pPr>
              <w:pStyle w:val="ListParagraph"/>
              <w:numPr>
                <w:ilvl w:val="0"/>
                <w:numId w:val="2"/>
              </w:numPr>
              <w:spacing w:after="20" w:before="20"/>
            </w:pPr>
            <w:r>
              <w:rPr>
                <w:rFonts w:ascii="Arial" w:cs="Arial" w:eastAsia="Arial" w:hAnsi="Arial"/>
                <w:color w:val="334155"/>
                <w:sz w:val="20"/>
                <w:szCs w:val="20"/>
              </w:rPr>
              <w:t xml:space="preserve">Onboard 2–3 early-adopter teams — collect structured feedback on agent compliance</w:t>
            </w:r>
          </w:p>
          <w:p>
            <w:pPr>
              <w:pStyle w:val="ListParagraph"/>
              <w:numPr>
                <w:ilvl w:val="0"/>
                <w:numId w:val="2"/>
              </w:numPr>
              <w:spacing w:after="20" w:before="20"/>
            </w:pPr>
            <w:r>
              <w:rPr>
                <w:rFonts w:ascii="Arial" w:cs="Arial" w:eastAsia="Arial" w:hAnsi="Arial"/>
                <w:color w:val="334155"/>
                <w:sz w:val="20"/>
                <w:szCs w:val="20"/>
              </w:rPr>
              <w:t xml:space="preserve">Build the internal spec index (searchable, status-visible, filterable by tag)</w:t>
            </w:r>
          </w:p>
          <w:p>
            <w:pPr>
              <w:pStyle w:val="ListParagraph"/>
              <w:numPr>
                <w:ilvl w:val="0"/>
                <w:numId w:val="2"/>
              </w:numPr>
              <w:spacing w:after="20" w:before="20"/>
            </w:pPr>
            <w:r>
              <w:rPr>
                <w:rFonts w:ascii="Arial" w:cs="Arial" w:eastAsia="Arial" w:hAnsi="Arial"/>
                <w:color w:val="334155"/>
                <w:sz w:val="20"/>
                <w:szCs w:val="20"/>
              </w:rPr>
              <w:t xml:space="preserve">Use learnings to refine the meta-spec and linter rules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56DB" w:val="clear"/>
            <w:tcMar>
              <w:top w:type="dxa" w:w="140"/>
              <w:left w:type="dxa" w:w="180"/>
              <w:bottom w:type="dxa" w:w="140"/>
              <w:right w:type="dxa" w:w="180"/>
            </w:tcMar>
            <w:vAlign w:val="center"/>
          </w:tcPr>
          <w:p>
            <w:pPr>
              <w:spacing w:after="40" w:before="0"/>
              <w:jc w:val="center"/>
            </w:pPr>
            <w:r>
              <w:rPr>
                <w:rFonts w:ascii="Arial" w:cs="Arial" w:eastAsia="Arial" w:hAnsi="Arial"/>
                <w:b/>
                <w:bCs/>
                <w:color w:val="FFFFFF"/>
                <w:sz w:val="18"/>
                <w:szCs w:val="18"/>
              </w:rPr>
              <w:t xml:space="preserve">Phase 3</w:t>
            </w:r>
          </w:p>
          <w:p>
            <w:pPr>
              <w:spacing w:after="0" w:before="0"/>
              <w:jc w:val="center"/>
            </w:pPr>
            <w:r>
              <w:rPr>
                <w:rFonts w:ascii="Arial" w:cs="Arial" w:eastAsia="Arial" w:hAnsi="Arial"/>
                <w:color w:val="93C5FD"/>
                <w:sz w:val="16"/>
                <w:szCs w:val="16"/>
              </w:rPr>
              <w:t xml:space="preserve">Weeks 9–12</w:t>
            </w:r>
          </w:p>
        </w:tc>
        <w:tc>
          <w:tcPr>
            <w:tcW w:type="dxa" w:w="7920"/>
            <w:tcBorders>
              <w:top w:val="none" w:color="FFFFFF" w:sz="0"/>
              <w:left w:val="none" w:color="FFFFFF" w:sz="0"/>
              <w:bottom w:val="none" w:color="FFFFFF" w:sz="0"/>
              <w:right w:val="none" w:color="FFFFFF" w:sz="0"/>
            </w:tcBorders>
            <w:shd w:fill="F0F4FF" w:val="clear"/>
            <w:tcMar>
              <w:top w:type="dxa" w:w="120"/>
              <w:left w:type="dxa" w:w="200"/>
              <w:bottom w:type="dxa" w:w="120"/>
              <w:right w:type="dxa" w:w="160"/>
            </w:tcMar>
          </w:tcPr>
          <w:p>
            <w:pPr>
              <w:spacing w:after="80" w:before="0"/>
            </w:pPr>
            <w:r>
              <w:rPr>
                <w:rFonts w:ascii="Arial" w:cs="Arial" w:eastAsia="Arial" w:hAnsi="Arial"/>
                <w:b/>
                <w:bCs/>
                <w:color w:val="0F172A"/>
                <w:sz w:val="22"/>
                <w:szCs w:val="22"/>
              </w:rPr>
              <w:t xml:space="preserve">Socialization</w:t>
            </w:r>
          </w:p>
          <w:p>
            <w:pPr>
              <w:pStyle w:val="ListParagraph"/>
              <w:numPr>
                <w:ilvl w:val="0"/>
                <w:numId w:val="2"/>
              </w:numPr>
              <w:spacing w:after="20" w:before="20"/>
            </w:pPr>
            <w:r>
              <w:rPr>
                <w:rFonts w:ascii="Arial" w:cs="Arial" w:eastAsia="Arial" w:hAnsi="Arial"/>
                <w:color w:val="334155"/>
                <w:sz w:val="20"/>
                <w:szCs w:val="20"/>
              </w:rPr>
              <w:t xml:space="preserve">Architecture guild presentation: live demo of /spec generating a compliant component</w:t>
            </w:r>
          </w:p>
          <w:p>
            <w:pPr>
              <w:pStyle w:val="ListParagraph"/>
              <w:numPr>
                <w:ilvl w:val="0"/>
                <w:numId w:val="2"/>
              </w:numPr>
              <w:spacing w:after="20" w:before="20"/>
            </w:pPr>
            <w:r>
              <w:rPr>
                <w:rFonts w:ascii="Arial" w:cs="Arial" w:eastAsia="Arial" w:hAnsi="Arial"/>
                <w:color w:val="334155"/>
                <w:sz w:val="20"/>
                <w:szCs w:val="20"/>
              </w:rPr>
              <w:t xml:space="preserve">Open spec authoring to all teams via the PR process</w:t>
            </w:r>
          </w:p>
          <w:p>
            <w:pPr>
              <w:pStyle w:val="ListParagraph"/>
              <w:numPr>
                <w:ilvl w:val="0"/>
                <w:numId w:val="2"/>
              </w:numPr>
              <w:spacing w:after="20" w:before="20"/>
            </w:pPr>
            <w:r>
              <w:rPr>
                <w:rFonts w:ascii="Arial" w:cs="Arial" w:eastAsia="Arial" w:hAnsi="Arial"/>
                <w:color w:val="334155"/>
                <w:sz w:val="20"/>
                <w:szCs w:val="20"/>
              </w:rPr>
              <w:t xml:space="preserve">Publish the DS-SWAP-GUIDE and brief DS team on the adapter architecture</w:t>
            </w:r>
          </w:p>
          <w:p>
            <w:pPr>
              <w:pStyle w:val="ListParagraph"/>
              <w:numPr>
                <w:ilvl w:val="0"/>
                <w:numId w:val="2"/>
              </w:numPr>
              <w:spacing w:after="20" w:before="20"/>
            </w:pPr>
            <w:r>
              <w:rPr>
                <w:rFonts w:ascii="Arial" w:cs="Arial" w:eastAsia="Arial" w:hAnsi="Arial"/>
                <w:color w:val="334155"/>
                <w:sz w:val="20"/>
                <w:szCs w:val="20"/>
              </w:rPr>
              <w:t xml:space="preserve">Establish the quarterly spec review cadence as a standing calendar event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56DB" w:val="clear"/>
            <w:tcMar>
              <w:top w:type="dxa" w:w="140"/>
              <w:left w:type="dxa" w:w="180"/>
              <w:bottom w:type="dxa" w:w="140"/>
              <w:right w:type="dxa" w:w="180"/>
            </w:tcMar>
            <w:vAlign w:val="center"/>
          </w:tcPr>
          <w:p>
            <w:pPr>
              <w:spacing w:after="40" w:before="0"/>
              <w:jc w:val="center"/>
            </w:pPr>
            <w:r>
              <w:rPr>
                <w:rFonts w:ascii="Arial" w:cs="Arial" w:eastAsia="Arial" w:hAnsi="Arial"/>
                <w:b/>
                <w:bCs/>
                <w:color w:val="FFFFFF"/>
                <w:sz w:val="18"/>
                <w:szCs w:val="18"/>
              </w:rPr>
              <w:t xml:space="preserve">Phase 4</w:t>
            </w:r>
          </w:p>
          <w:p>
            <w:pPr>
              <w:spacing w:after="0" w:before="0"/>
              <w:jc w:val="center"/>
            </w:pPr>
            <w:r>
              <w:rPr>
                <w:rFonts w:ascii="Arial" w:cs="Arial" w:eastAsia="Arial" w:hAnsi="Arial"/>
                <w:color w:val="93C5FD"/>
                <w:sz w:val="16"/>
                <w:szCs w:val="16"/>
              </w:rPr>
              <w:t xml:space="preserve">Month 4+</w:t>
            </w:r>
          </w:p>
        </w:tc>
        <w:tc>
          <w:tcPr>
            <w:tcW w:type="dxa" w:w="7920"/>
            <w:tcBorders>
              <w:top w:val="none" w:color="FFFFFF" w:sz="0"/>
              <w:left w:val="none" w:color="FFFFFF" w:sz="0"/>
              <w:bottom w:val="none" w:color="FFFFFF" w:sz="0"/>
              <w:right w:val="none" w:color="FFFFFF" w:sz="0"/>
            </w:tcBorders>
            <w:shd w:fill="F0F4FF" w:val="clear"/>
            <w:tcMar>
              <w:top w:type="dxa" w:w="120"/>
              <w:left w:type="dxa" w:w="200"/>
              <w:bottom w:type="dxa" w:w="120"/>
              <w:right w:type="dxa" w:w="160"/>
            </w:tcMar>
          </w:tcPr>
          <w:p>
            <w:pPr>
              <w:spacing w:after="80" w:before="0"/>
            </w:pPr>
            <w:r>
              <w:rPr>
                <w:rFonts w:ascii="Arial" w:cs="Arial" w:eastAsia="Arial" w:hAnsi="Arial"/>
                <w:b/>
                <w:bCs/>
                <w:color w:val="0F172A"/>
                <w:sz w:val="22"/>
                <w:szCs w:val="22"/>
              </w:rPr>
              <w:t xml:space="preserve">Scale &amp; Measure</w:t>
            </w:r>
          </w:p>
          <w:p>
            <w:pPr>
              <w:pStyle w:val="ListParagraph"/>
              <w:numPr>
                <w:ilvl w:val="0"/>
                <w:numId w:val="2"/>
              </w:numPr>
              <w:spacing w:after="20" w:before="20"/>
            </w:pPr>
            <w:r>
              <w:rPr>
                <w:rFonts w:ascii="Arial" w:cs="Arial" w:eastAsia="Arial" w:hAnsi="Arial"/>
                <w:color w:val="334155"/>
                <w:sz w:val="20"/>
                <w:szCs w:val="20"/>
              </w:rPr>
              <w:t xml:space="preserve">Expand to 10+ active specs covering all major pattern categories</w:t>
            </w:r>
          </w:p>
          <w:p>
            <w:pPr>
              <w:pStyle w:val="ListParagraph"/>
              <w:numPr>
                <w:ilvl w:val="0"/>
                <w:numId w:val="2"/>
              </w:numPr>
              <w:spacing w:after="20" w:before="20"/>
            </w:pPr>
            <w:r>
              <w:rPr>
                <w:rFonts w:ascii="Arial" w:cs="Arial" w:eastAsia="Arial" w:hAnsi="Arial"/>
                <w:color w:val="334155"/>
                <w:sz w:val="20"/>
                <w:szCs w:val="20"/>
              </w:rPr>
              <w:t xml:space="preserve">Add AST-based compliance checks for high-value specs</w:t>
            </w:r>
          </w:p>
          <w:p>
            <w:pPr>
              <w:pStyle w:val="ListParagraph"/>
              <w:numPr>
                <w:ilvl w:val="0"/>
                <w:numId w:val="2"/>
              </w:numPr>
              <w:spacing w:after="20" w:before="20"/>
            </w:pPr>
            <w:r>
              <w:rPr>
                <w:rFonts w:ascii="Arial" w:cs="Arial" w:eastAsia="Arial" w:hAnsi="Arial"/>
                <w:color w:val="334155"/>
                <w:sz w:val="20"/>
                <w:szCs w:val="20"/>
              </w:rPr>
              <w:t xml:space="preserve">Track adoption metrics: teams using specs, generations per spec, compliance rate</w:t>
            </w:r>
          </w:p>
          <w:p>
            <w:pPr>
              <w:pStyle w:val="ListParagraph"/>
              <w:numPr>
                <w:ilvl w:val="0"/>
                <w:numId w:val="2"/>
              </w:numPr>
              <w:spacing w:after="20" w:before="20"/>
            </w:pPr>
            <w:r>
              <w:rPr>
                <w:rFonts w:ascii="Arial" w:cs="Arial" w:eastAsia="Arial" w:hAnsi="Arial"/>
                <w:color w:val="334155"/>
                <w:sz w:val="20"/>
                <w:szCs w:val="20"/>
              </w:rPr>
              <w:t xml:space="preserve">Activate registry dependsOn field — automated drift detection on DS version bumps</w:t>
            </w:r>
          </w:p>
        </w:tc>
      </w:tr>
    </w:tbl>
    <w:p>
      <w:pPr>
        <w:spacing w:after="0" w:before="160"/>
      </w:pPr>
      <w:r>
        <w:t xml:space="preserve"/>
      </w:r>
    </w:p>
    <w:p>
      <w:r>
        <w:br w:type="page"/>
      </w:r>
    </w:p>
    <w:p>
      <w:pPr>
        <w:pStyle w:val="Heading1"/>
        <w:spacing w:after="160" w:before="440"/>
      </w:pPr>
      <w:r>
        <w:rPr>
          <w:rFonts w:ascii="Arial" w:cs="Arial" w:eastAsia="Arial" w:hAnsi="Arial"/>
          <w:b/>
          <w:bCs/>
          <w:color w:val="0F172A"/>
          <w:sz w:val="34"/>
          <w:szCs w:val="34"/>
        </w:rPr>
        <w:t xml:space="preserve">What We Need</w:t>
      </w:r>
    </w:p>
    <w:p>
      <w:pPr>
        <w:pStyle w:val="Heading2"/>
        <w:pBdr>
          <w:bottom w:val="single" w:color="E2E8F0" w:sz="4" w:space="4"/>
        </w:pBdr>
        <w:spacing w:after="120" w:before="340"/>
      </w:pPr>
      <w:r>
        <w:rPr>
          <w:rFonts w:ascii="Arial" w:cs="Arial" w:eastAsia="Arial" w:hAnsi="Arial"/>
          <w:b/>
          <w:bCs/>
          <w:color w:val="0F172A"/>
          <w:sz w:val="26"/>
          <w:szCs w:val="26"/>
        </w:rPr>
        <w:t xml:space="preserve">Investment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4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rPr>
          <w:tblHeader w:val="false"/>
        </w:trPr>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Spec repository</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dedicated spec-framework repo with branch protection and CODEOWNERS. Framework files are already built.</w:t>
            </w:r>
          </w:p>
        </w:tc>
      </w:tr>
      <w:tr>
        <w:trPr>
          <w:tblHeader w:val="false"/>
        </w:trPr>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CI integration</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spec-lint and registry validate running on PRs to specs/ — lightweight, no new tooling required.</w:t>
            </w:r>
          </w:p>
        </w:tc>
      </w:tr>
      <w:tr>
        <w:trPr>
          <w:tblHeader w:val="false"/>
        </w:trPr>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Copilot configuration</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Slash commands (/spec, /spec-search, /spec-check) published to all teams' Copilot Chat configurations.</w:t>
            </w:r>
          </w:p>
        </w:tc>
      </w:tr>
      <w:tr>
        <w:trPr>
          <w:tblHeader w:val="false"/>
        </w:trPr>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Architecture time</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 day/week (UI Architecture) for spec reviews, framework maintenance, and early-adopter support during Phase 1–2.</w:t>
            </w:r>
          </w:p>
        </w:tc>
      </w:tr>
      <w:tr>
        <w:trPr>
          <w:tblHeader w:val="false"/>
        </w:trPr>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Early adopter teams</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2–3 teams willing to pilot the workflow and provide structured compliance feedback in Phase 2.</w:t>
            </w:r>
          </w:p>
        </w:tc>
      </w:tr>
      <w:tr>
        <w:trPr>
          <w:tblHeader w:val="false"/>
        </w:trPr>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DS team alignment</w:t>
            </w:r>
          </w:p>
        </w:tc>
        <w:tc>
          <w:tcPr>
            <w:tcW w:type="dxa" w:w="6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working session with the DS team to review the adapter architecture and agree on the token/component interface contract.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20"/>
              <w:bottom w:val="none" w:color="FFFFFF" w:sz="0"/>
              <w:right w:val="none" w:color="FFFFFF" w:sz="0"/>
            </w:tcBorders>
            <w:shd w:fill="DCFCE7" w:val="clear"/>
            <w:tcMar>
              <w:top w:type="dxa" w:w="100"/>
              <w:left w:type="dxa" w:w="200"/>
              <w:bottom w:type="dxa" w:w="100"/>
              <w:right w:type="dxa" w:w="160"/>
            </w:tcMar>
          </w:tcPr>
          <w:p>
            <w:pPr>
              <w:spacing w:after="60" w:before="0"/>
            </w:pPr>
            <w:r>
              <w:rPr>
                <w:rFonts w:ascii="Arial" w:cs="Arial" w:eastAsia="Arial" w:hAnsi="Arial"/>
                <w:b/>
                <w:bCs/>
                <w:color w:val="166534"/>
                <w:sz w:val="18"/>
                <w:szCs w:val="18"/>
              </w:rPr>
              <w:t xml:space="preserve">NO NEW PURCHASES</w:t>
            </w:r>
          </w:p>
          <w:p>
            <w:pPr>
              <w:spacing w:after="0" w:before="0"/>
            </w:pPr>
            <w:r>
              <w:rPr>
                <w:rFonts w:ascii="Arial" w:cs="Arial" w:eastAsia="Arial" w:hAnsi="Arial"/>
                <w:color w:val="334155"/>
                <w:sz w:val="20"/>
                <w:szCs w:val="20"/>
              </w:rPr>
              <w:t xml:space="preserve">The framework runs entirely on existing infrastructure — Git, CI pipelines, and the AI agents teams already use. The tools (registry CLI, spec linter) are built and ready.</w:t>
            </w:r>
          </w:p>
        </w:tc>
      </w:tr>
    </w:tbl>
    <w:p>
      <w:pPr>
        <w:spacing w:after="0" w:before="160"/>
      </w:pPr>
      <w:r>
        <w:t xml:space="preserve"/>
      </w:r>
    </w:p>
    <w:p>
      <w:pPr>
        <w:pStyle w:val="Heading1"/>
        <w:spacing w:after="160" w:before="440"/>
      </w:pPr>
      <w:r>
        <w:rPr>
          <w:rFonts w:ascii="Arial" w:cs="Arial" w:eastAsia="Arial" w:hAnsi="Arial"/>
          <w:b/>
          <w:bCs/>
          <w:color w:val="0F172A"/>
          <w:sz w:val="34"/>
          <w:szCs w:val="34"/>
        </w:rPr>
        <w:t xml:space="preserve">How We Measure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Month 1 Baseline</w:t>
            </w:r>
          </w:p>
        </w:tc>
        <w:tc>
          <w:tcPr>
            <w:tcW w:type="dxa" w:w="3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Month 6 Target</w:t>
            </w:r>
          </w:p>
        </w:tc>
      </w:tr>
      <w:tr>
        <w:trPr>
          <w:tblHeader w:val="false"/>
        </w:trP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Teams using at least one spec</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 (UI Arch)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10 of 15 teams</w:t>
            </w:r>
          </w:p>
        </w:tc>
      </w:tr>
      <w:tr>
        <w:trPr>
          <w:tblHeader w:val="false"/>
        </w:trP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Active specs in registry</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 (ag-grid)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10+ covering major pattern categories</w:t>
            </w:r>
          </w:p>
        </w:tc>
      </w:tr>
      <w:tr>
        <w:trPr>
          <w:tblHeader w:val="false"/>
        </w:trP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Agent compliance rate (checklist pass)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 tracked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Tracked — visible trend toward 90%+</w:t>
            </w:r>
          </w:p>
        </w:tc>
      </w:tr>
      <w:tr>
        <w:trPr>
          <w:tblHeader w:val="false"/>
        </w:trP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DS token violations in new components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 tracked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Tracked via linter — measurable decline</w:t>
            </w:r>
          </w:p>
        </w:tc>
      </w:tr>
      <w:tr>
        <w:trPr>
          <w:tblHeader w:val="false"/>
        </w:trP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Cross-team UX consistency (design audit)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Baseline audit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Measurable improvement by Month 6</w:t>
            </w:r>
          </w:p>
        </w:tc>
      </w:tr>
      <w:tr>
        <w:trPr>
          <w:tblHeader w:val="false"/>
        </w:trP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DS migration readiness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Adapter layer built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DS team briefed, interface agreed</w:t>
            </w:r>
          </w:p>
        </w:tc>
      </w:tr>
    </w:tbl>
    <w:p>
      <w:pPr>
        <w:spacing w:after="0" w:before="160"/>
      </w:pPr>
      <w:r>
        <w:t xml:space="preserve"/>
      </w:r>
    </w:p>
    <w:p>
      <w:pPr>
        <w:pStyle w:val="Heading1"/>
        <w:spacing w:after="160" w:before="440"/>
      </w:pPr>
      <w:r>
        <w:rPr>
          <w:rFonts w:ascii="Arial" w:cs="Arial" w:eastAsia="Arial" w:hAnsi="Arial"/>
          <w:b/>
          <w:bCs/>
          <w:color w:val="0F172A"/>
          <w:sz w:val="34"/>
          <w:szCs w:val="34"/>
        </w:rPr>
        <w:t xml:space="preserve">Conclusion</w:t>
      </w:r>
    </w:p>
    <w:p>
      <w:pPr>
        <w:spacing w:after="80" w:before="80" w:line="340"/>
      </w:pPr>
      <w:r>
        <w:rPr>
          <w:rFonts w:ascii="Arial" w:cs="Arial" w:eastAsia="Arial" w:hAnsi="Arial"/>
          <w:b w:val="false"/>
          <w:bCs w:val="false"/>
          <w:i w:val="false"/>
          <w:iCs w:val="false"/>
          <w:color w:val="334155"/>
          <w:sz w:val="22"/>
          <w:szCs w:val="22"/>
        </w:rPr>
        <w:t xml:space="preserve">The Spec-Driven AI Development Framework is the natural evolution of how we govern code quality in an AI-accelerated, MFE environment. It gives every agent and every developer the same high-quality starting point — without the coupling and coordination overhead of shared libraries.</w:t>
      </w:r>
    </w:p>
    <w:p>
      <w:pPr>
        <w:spacing w:after="0" w:before="80"/>
      </w:pPr>
      <w:r>
        <w:t xml:space="preserve"/>
      </w:r>
    </w:p>
    <w:p>
      <w:pPr>
        <w:spacing w:after="80" w:before="80" w:line="340"/>
      </w:pPr>
      <w:r>
        <w:rPr>
          <w:rFonts w:ascii="Arial" w:cs="Arial" w:eastAsia="Arial" w:hAnsi="Arial"/>
          <w:b w:val="false"/>
          <w:bCs w:val="false"/>
          <w:i w:val="false"/>
          <w:iCs w:val="false"/>
          <w:color w:val="334155"/>
          <w:sz w:val="22"/>
          <w:szCs w:val="22"/>
        </w:rPr>
        <w:t xml:space="preserve">The adapter layer makes it durable. Today it runs on Angular Material. Tomorrow it runs on our internal DS — with no changes to pattern specs, no cross-team migrations, and no coordinated effort. The framework is designed to be right for longer than any single library decision.</w:t>
      </w:r>
    </w:p>
    <w:p>
      <w:pPr>
        <w:spacing w:after="0" w:before="80"/>
      </w:pPr>
      <w:r>
        <w:t xml:space="preserve"/>
      </w:r>
    </w:p>
    <w:p>
      <w:pPr>
        <w:spacing w:after="80" w:before="80" w:line="340"/>
      </w:pPr>
      <w:r>
        <w:rPr>
          <w:rFonts w:ascii="Arial" w:cs="Arial" w:eastAsia="Arial" w:hAnsi="Arial"/>
          <w:b w:val="false"/>
          <w:bCs w:val="false"/>
          <w:i w:val="false"/>
          <w:iCs w:val="false"/>
          <w:color w:val="334155"/>
          <w:sz w:val="22"/>
          <w:szCs w:val="22"/>
        </w:rPr>
        <w:t xml:space="preserve">The foundation is built. The spec, the registry, the linter, the agent contract, and the adapter layer are all ready. What we need now is the organizational commitment to make this the standard way we work.</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20"/>
              <w:bottom w:val="none" w:color="FFFFFF" w:sz="0"/>
              <w:right w:val="none" w:color="FFFFFF" w:sz="0"/>
            </w:tcBorders>
            <w:shd w:fill="F5F3FF" w:val="clear"/>
            <w:tcMar>
              <w:top w:type="dxa" w:w="100"/>
              <w:left w:type="dxa" w:w="200"/>
              <w:bottom w:type="dxa" w:w="100"/>
              <w:right w:type="dxa" w:w="160"/>
            </w:tcMar>
          </w:tcPr>
          <w:p>
            <w:pPr>
              <w:spacing w:after="60" w:before="0"/>
            </w:pPr>
            <w:r>
              <w:rPr>
                <w:rFonts w:ascii="Arial" w:cs="Arial" w:eastAsia="Arial" w:hAnsi="Arial"/>
                <w:b/>
                <w:bCs/>
                <w:color w:val="5B21B6"/>
                <w:sz w:val="18"/>
                <w:szCs w:val="18"/>
              </w:rPr>
              <w:t xml:space="preserve">THE BOTTOM LINE</w:t>
            </w:r>
          </w:p>
          <w:p>
            <w:pPr>
              <w:spacing w:after="0" w:before="0"/>
            </w:pPr>
            <w:r>
              <w:rPr>
                <w:rFonts w:ascii="Arial" w:cs="Arial" w:eastAsia="Arial" w:hAnsi="Arial"/>
                <w:color w:val="334155"/>
                <w:sz w:val="20"/>
                <w:szCs w:val="20"/>
              </w:rPr>
              <w:t xml:space="preserve">The teams that define how agents generate code will define the quality of the codebase. This framework puts that definition in our hands — and keeps it there as the DS, the tooling, and the org continue to evolve.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after="0" w:before="160"/>
    </w:pPr>
    <w:r>
      <w:rPr>
        <w:rFonts w:ascii="Arial" w:cs="Arial" w:eastAsia="Arial" w:hAnsi="Arial"/>
        <w:color w:val="CBD5E1"/>
        <w:sz w:val="18"/>
        <w:szCs w:val="18"/>
      </w:rPr>
      <w:t xml:space="preserve">Internal — Not for Distribution</w:t>
    </w:r>
    <w:r>
      <w:rPr>
        <w:rFonts w:ascii="Arial" w:cs="Arial" w:eastAsia="Arial" w:hAnsi="Arial"/>
        <w:color w:val="64748B"/>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160" w:before="0"/>
    </w:pPr>
    <w:r>
      <w:rPr>
        <w:rFonts w:ascii="Arial" w:cs="Arial" w:eastAsia="Arial" w:hAnsi="Arial"/>
        <w:color w:val="64748B"/>
        <w:sz w:val="18"/>
        <w:szCs w:val="18"/>
      </w:rPr>
      <w:t xml:space="preserve">Spec-Driven AI Development Framework</w:t>
    </w:r>
    <w:r>
      <w:rPr>
        <w:rFonts w:ascii="Arial" w:cs="Arial" w:eastAsia="Arial" w:hAnsi="Arial"/>
        <w:color w:val="CBD5E1"/>
        <w:sz w:val="18"/>
        <w:szCs w:val="18"/>
      </w:rPr>
      <w:t xml:space="preserve">   ·   UI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F172A"/>
      <w:sz w:val="34"/>
      <w:szCs w:val="34"/>
    </w:rPr>
  </w:style>
  <w:style w:type="paragraph" w:styleId="Heading2">
    <w:name w:val="Heading 2"/>
    <w:basedOn w:val="Normal"/>
    <w:next w:val="Normal"/>
    <w:qFormat/>
    <w:pPr>
      <w:spacing w:after="120" w:before="340"/>
      <w:outlineLvl w:val="1"/>
    </w:pPr>
    <w:rPr>
      <w:rFonts w:ascii="Arial" w:cs="Arial" w:eastAsia="Arial" w:hAnsi="Arial"/>
      <w:b/>
      <w:bCs/>
      <w:color w:val="0F172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035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2026-03-22T17:36:40.782Z</dcterms:created>
  <dcterms:modified xsi:type="dcterms:W3CDTF">2026-03-22T17:36:40.783Z</dcterms:modified>
</cp:coreProperties>
</file>

<file path=docProps/custom.xml><?xml version="1.0" encoding="utf-8"?>
<Properties xmlns="http://schemas.openxmlformats.org/officeDocument/2006/custom-properties" xmlns:vt="http://schemas.openxmlformats.org/officeDocument/2006/docPropsVTypes"/>
</file>