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Адаптация SmolVLA к новым задачам LIBERO</w:t>
        <w:br w:type="textWrapping"/>
        <w:t xml:space="preserve">при малом числе демонстраций</w:t>
      </w:r>
    </w:p>
    <w:p w:rsidR="00000000" w:rsidDel="00000000" w:rsidP="00000000" w:rsidRDefault="00000000" w:rsidRPr="00000000" w14:paraId="00000002">
      <w:pPr>
        <w:pStyle w:val="Heading1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 Постановка и протокол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Цель - сдвинуть влево зависимость успешности от числа целевых демонстраций (cost curve). Предварительное дообучение выполняется на libero_90, а оценка переноса - на трёх заданных задачах libero_goal, найденных по точному тексту инструкции. Бюджеты K=0/5/10/25. При K&gt;0 берутся строго первые K демонстраций каждой задачи. Для K&gt;0 применяются два сида обучения, для оценки - 20 эпизодов на задачу и точку.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Базовый метод - стандартное дообучение SmolVLA. В стандартной конфигурации smolvla_base визуальный энкодер заморожен, а эксперт действий и связанные проекции обучаются. H1-H4 используют тот же основной режим и одинаковое число целевых обновлений. H4 дополнительно считает функцию потерь на seen-батче каждый четвёртый шаг.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Проверки: (1) канал гриппера переводится как g_env = 1 - 2*g_data, после чего по одной реальной демонстрации каждой целевой задачи воспроизводится в среде и  хотя бы одна должна завершиться успехом; (2) исходные mp4 читаются через torchcodec, а реальные кадры декодируются до обучения; (3) после дообучения на libero_90 три исходные задачи оцениваются по 5 эпизодов, и результат 0 из 15 останавливает дальнейший запуск; (4) до обучения базовой сетки выполняется один прямой и обратный проход H1-H4 без шага оптимизатора.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каждой пары «задача × K» статистики числовой нормировки вычисляются только по выбранным K демонстрациям. Данные и видео физически не копируются: используются лёгкие представления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data/views/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Демонстрации других целевых задач не попадают в обучение даже косвенно через нормировку.</w:t>
      </w:r>
    </w:p>
    <w:p w:rsidR="00000000" w:rsidDel="00000000" w:rsidP="00000000" w:rsidRDefault="00000000" w:rsidRPr="00000000" w14:paraId="00000007">
      <w:pPr>
        <w:pStyle w:val="Heading1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 Гипотезы и предсказания до запуска</w:t>
      </w:r>
    </w:p>
    <w:tbl>
      <w:tblPr>
        <w:tblStyle w:val="Table1"/>
        <w:tblW w:w="105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350"/>
        <w:gridCol w:w="3570"/>
        <w:gridCol w:w="1680"/>
        <w:tblGridChange w:id="0">
          <w:tblGrid>
            <w:gridCol w:w="900"/>
            <w:gridCol w:w="4350"/>
            <w:gridCol w:w="3570"/>
            <w:gridCol w:w="1680"/>
          </w:tblGrid>
        </w:tblGridChange>
      </w:tblGrid>
      <w:tr>
        <w:trPr>
          <w:cantSplit w:val="0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Метод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Изменение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Предсказание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Теория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Прототипы Δz из seen-видео без действий; дополнительная функция потерь по скрытому состоянию. Это же Bonus 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Наибольший выигрыш при K=5; меньше при K=10; слабый или нулевой при K=25.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 et al., LAPA, ICLR 2025.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Инструкция задаёт внимание к скрытым токенам эксперта действий; правильный текст должен лучше согласовываться с действием, чем посторонняя seen-инструкция.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Эффект прежде всего при K=5-10; при ненулевом успехе возможен рост чувствительности к языку.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 et al., CoRL 2025.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L2-SP: штраф за уход штатно обучаемых весов от seen-чекпойнта.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Плюс при K=5, возможно K=10; при K=25 ограничение может мешать.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 et al., ICML 2018.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Каждый четвёртый целевой шаг дополняется функцией потерь на seen-батче; оба батча используют статистики первых K целевых демонстраций.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Устойчивее базового метода при K=5-10; вычислительная цена около +25%.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Experience replay.</w:t>
            </w:r>
          </w:p>
        </w:tc>
      </w:tr>
    </w:tbl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Общее предсказание: базовый метод в среднем улучшается при росте демонстраций, хотя отдельные задачи и сиды могут быть немонотонными. K=0 на новых задачах может дать ноль и сам по себе не доказывает ошибку обучения. Если и подменённые инструкции дают нулевой успех, языковой контроль не позволяет сделать вывод о чувствительности модели к тексту. Предсказания зафиксированы 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Predictions.md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1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 Результаты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численные утверждения берутся из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results/cost_curve.csv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results/success_rates.csv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Для ключевых сравнений смотрим на 95% интервалы Wilson из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success_rates.csv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36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K=0: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36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Базовый метод, K=5/10/25: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36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H1, K=5/10/25: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36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H2, K=5/10/25: 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36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H3, K=5/10/25: 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5" w:lineRule="auto"/>
        <w:ind w:left="36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H4, K=5/10/25: 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Итог по кривой: .</w:t>
      </w:r>
    </w:p>
    <w:p w:rsidR="00000000" w:rsidDel="00000000" w:rsidP="00000000" w:rsidRDefault="00000000" w:rsidRPr="00000000" w14:paraId="00000026">
      <w:pPr>
        <w:pStyle w:val="Heading1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 Контроль языка и проверки корректности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Воспроизведение демонстраций: , источник 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results/replay_smoke.csv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Проверка исходных задач: , источник 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results/seen_sanity.csv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Правильная против подменённой инструкции: , источник 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results/language_control_summary.csv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1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5. Bonus A: польза seen-видео без действий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H1 значения action удаляются из батча до обработки и не участвуют в построении представлений, целевых переменных или кластеризации. Замороженный визуальный энкодер строит Δz между t и t+h, после чего k-means задаёт прототипы визуальных переходов. На стадии целевого дообучения скрытое состояние политики дополнительно учится предсказывать тип и направление наблюдаемого перехода вместе с основной функцией потерь по действиям.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 Bonus A: . Источники 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results/cost_curve.csv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results/success_rates.csv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1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6. Разбор трёх реальных провалов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Три строки из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results/failure_candidates.csv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соответствующие сохранённые видео. Файл содержит только те неудачные эпизоды, для которых LeRobot фактически сохранил видео; численные метрики считаются по всем 20 эпизодам.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36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Провал 1: файл [ ]; наблюдение [ ]; гипотеза [ ]; альтернатива [ ]; проверка [ ].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36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Провал 2: файл [ ]; наблюдение [ ]; гипотеза [ ]; альтернатива [ ]; проверка [ ].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5" w:lineRule="auto"/>
        <w:ind w:left="36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Провал 3: файл [ ]; наблюдение [ ]; гипотеза [ ]; альтернатива [ ]; проверка [ ].</w:t>
      </w:r>
    </w:p>
    <w:p w:rsidR="00000000" w:rsidDel="00000000" w:rsidP="00000000" w:rsidRDefault="00000000" w:rsidRPr="00000000" w14:paraId="00000031">
      <w:pPr>
        <w:pStyle w:val="Heading1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7. Кладбище идей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36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Параметрически-эффективные адаптеры (LoRa): не выбраны ради единого штатного режима SmolVLA и более чистого сравнения дополнительных сигналов.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36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Value-head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без истинной награды: не выбрана, потому что требует искусственной целевой переменной и меняет основной исследовательский вопрос.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5" w:lineRule="auto"/>
        <w:ind w:left="36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Полное размораживание всего VLM: не выбрано из-за риска переобучения на 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25 демонстрациях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8. Самое неожиданное наблюдение и вывод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Самое неожиданное наблюдение: 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Итог: .</w:t>
      </w:r>
    </w:p>
    <w:sectPr>
      <w:pgSz w:h="15840" w:w="12240" w:orient="portrait"/>
      <w:pgMar w:bottom="765" w:top="765" w:left="879" w:right="87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64" w:line="245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140" w:lineRule="auto"/>
    </w:pPr>
    <w:rPr>
      <w:rFonts w:ascii="Arial" w:cs="Arial" w:eastAsia="Arial" w:hAnsi="Arial"/>
      <w:b w:val="1"/>
      <w:bCs w:val="1"/>
      <w:color w:val="366091"/>
      <w:sz w:val="23"/>
      <w:szCs w:val="23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40" w:lineRule="auto"/>
    </w:pPr>
    <w:rPr>
      <w:rFonts w:ascii="Arial" w:cs="Arial" w:eastAsia="Arial" w:hAnsi="Arial"/>
      <w:b w:val="1"/>
      <w:bCs w:val="1"/>
      <w:color w:val="4f81bd"/>
      <w:sz w:val="21"/>
      <w:szCs w:val="2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60" w:before="0" w:line="240" w:lineRule="auto"/>
      <w:jc w:val="center"/>
    </w:pPr>
    <w:rPr>
      <w:rFonts w:ascii="Arial" w:cs="Arial" w:eastAsia="Arial" w:hAnsi="Arial"/>
      <w:b w:val="1"/>
      <w:bCs w:val="1"/>
      <w:color w:val="17365d"/>
      <w:sz w:val="32"/>
      <w:szCs w:val="3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