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Few-shot адаптация SmolVLA на LIBERO</w:t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Исследовательский вопрос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RQ: какие дешёвые auxiliary signals лучше сохраняют переносимость seen-trained SmolVLA при адаптации к новой LIBERO-задаче: action-conditioned latent dynamics (H1) или video-derived progress (H2)? Основная метрика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 success cost curve при K=0/5/10/25 относительно наивного target fine-tune.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H1: action-conditioned latent dynamics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Предположение H1: seen training формирует task-relevant transition structure, которую обычный few-shot behavior cloning явно не сохраняет.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использу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 pooled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prefix representation SmolVLA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zₜ = MeanPool(E_prefix(oₜ, ℓ))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Fψ(zₜ, aₜ:ₜ₊ₕ₋₁) ≈ zₜ₊ₕ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Небольшой GRU+MLP Fψ обучается только на seen data по LIBERO actions при frozen SmolVLA, затем замораживается. На target policy SmolVLA предсказывает flow velocity chunk vθ. Из того же training-time flow state восстанавливается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clean action estimate и переводится официальным LeRobot postprocessor обратно в physical coordinates перед Fψ.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xτ = τ ε + (1 − τ) a,      â = xτ − τ vθ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L_h1 = L_flow + λ_dyn L_dyn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Градиент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L_dyn проходит только в target LoRA parameters через predicted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Предсказание до запусков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: H1 вероятнее всего даст наибольший выигрыш при K=10/25, когда target behavior уже идентифицируемо, но данных всё ещё недостаточно для устойчивого fine-tune.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DeepMDP: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https://arxiv.org/abs/1906.02736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VLA-JEPA: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https://arxiv.org/abs/2602.10098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H2: video progress RA-BC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Предположение H2: transitions в нескольких expert demonstrations неодинаково полезны. Для каждого task×K я обучаю TimeRewarder только по passive video первых K target demonstrations; actions reward model не использует. Adjacent-frame reward кумулируется внутри episode и min-max нормализуется в progress [0,1], после чего официальный RA-BC использует этот progress с κ=0.01.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udex" w:cs="Caudex" w:eastAsia="Caudex" w:hAnsi="Caudex"/>
          <w:sz w:val="24"/>
          <w:szCs w:val="24"/>
          <w:rtl w:val="0"/>
        </w:rPr>
        <w:t xml:space="preserve">rₜ = φ(oₜ₊Δ, ℓ) − φ(oₜ, ℓ),      LH2 = weighted Lflow via RA-BC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H2 обучается на тех же K=5/10/25 и target-policy seeds 42/123, что и H1. Reward model фиксируется на seed 7 внутри каждого task×K.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Предсказание до запусков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: H2 наиболее вероятно поможет при K=5/10; на K=25 эффект может сократиться, а на однородных expert trajectories возможен null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TimeRewarder: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https://arxiv.org/abs/2509.26627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SARM / RA-BC: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https://arxiv.org/abs/2509.25358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Предсказания и evaluation protocol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P1. Seen checkpoint даст неодинаковый zero-shot success по трём targets; wrong instruction должен снижать success, если language реально влияет на behavior.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P2. Naive target fine-tune улучшится с K и может выйти на ранний ceiling.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P3. H1 (action-conditioned latent dynamics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даст более заметный gain на K=10/25, чем на K=5.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P4. H2 (video progress RA-BC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 даст более заметный gain на K=5/10, чем на K=25.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P5. TimeRewarder checkpoint ranking будет положительно связан с simulator success; Robometer может оказаться сильнее как in-domain LIBERO reference.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P6. RA-BC может повысить learned reward без роста simulator success; это будет трактоваться как evidence of proxy gaming, а не автоматически как reward hacking.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Основная cost curve сравнивает native, LoRA, H1 и H2. H1/H2 используют общий LoRA backbone: сравнение H1/H2 с native по требованию задания, а сравнение с LoRA-only изолирует вклад auxiliary signal. Если LoRA-only побьёт native, но H1/H2 не побьют LoRA-only, это считается null result для гипотез, даже если assignment baseline формально превзойдён. Для каждой cell сохраняются simulator success и простой Wilson 95% interval. Итоговая curve использует macro mean по task×training-seed cells.</w:t>
      </w:r>
    </w:p>
    <w:p w:rsidR="00000000" w:rsidDel="00000000" w:rsidP="00000000" w:rsidRDefault="00000000" w:rsidRPr="00000000" w14:paraId="0000001E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Bonus B: reward-free evaluation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Bonus B переиспользует уже обученные K=5, seed 42 checkpoints native/LoRA/H1/H2 и task-specific TimeRewarder. Одинаковые сохранённые rollout videos оцениваются TimeRewarder и заданным Robometer-4B-LIBERO. Reward и true success агрегируются на checkpoint level внутри одной task×K; затем считаются Spearman, Kendall и pairwise ordering accuracy. Raw scales разных task-specific critics не смешиваются.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прямой проверки proxy optimization LoRA-only служит no-reward control, а H2/RA-BC — та же LoRA adaptation с TimeRewarder-derived weighting. Reward up и success up поддерживает alignment; reward при flat/down success - proxy gaming; оба flat - слабый reward signal.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Robometer paper: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https://arxiv.org/abs/2603.02115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Robometer-4B-LIBERO: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https://huggingface.co/aliangdw/Robometer-4B-LIBERO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Отброшенные идеи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Отдельный counterfactual language-ranking loss не входит в executable method. Проблема language grounding содержательна, но обязательный K=0 wrong-instruction control уже даёт прямой behavioral diagnostic; ещё один custom target loss увеличивает число степеней свободы и усложняет attribution H1/H2. Поэтому language-ranking остаётся отвергнутой идеей, а не отдельным методом.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rtl w:val="0"/>
        </w:rPr>
        <w:t xml:space="preserve">Также отброшен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ы </w:t>
      </w:r>
      <w:r w:rsidDel="00000000" w:rsidR="00000000" w:rsidRPr="00000000">
        <w:rPr>
          <w:rFonts w:ascii="Gungsuh" w:cs="Gungsuh" w:eastAsia="Gungsuh" w:hAnsi="Gungsuh"/>
          <w:i w:val="0"/>
          <w:iCs w:val="0"/>
          <w:sz w:val="24"/>
          <w:szCs w:val="24"/>
          <w:rtl w:val="0"/>
        </w:rPr>
        <w:t xml:space="preserve">linear labels t/(T−1), потому что elapsed time не равен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Knowledge Insulation: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https://arxiv.org/abs/2505.23705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SmolVLA: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https://arxiv.org/abs/2506.01844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LIBERO: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https://arxiv.org/abs/2306.03310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94" w:top="794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Caudex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60" w:line="246.9999999999999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80" w:lineRule="auto"/>
    </w:pPr>
    <w:rPr>
      <w:rFonts w:ascii="Arial" w:cs="Arial" w:eastAsia="Arial" w:hAnsi="Arial"/>
      <w:b w:val="1"/>
      <w:bCs w:val="1"/>
      <w:sz w:val="23"/>
      <w:szCs w:val="23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8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60" w:before="0" w:line="240" w:lineRule="auto"/>
    </w:pPr>
    <w:rPr>
      <w:rFonts w:ascii="Arial" w:cs="Arial" w:eastAsia="Arial" w:hAnsi="Arial"/>
      <w:b w:val="1"/>
      <w:bCs w:val="1"/>
      <w:sz w:val="30"/>
      <w:szCs w:val="3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uggingface.co/aliangdw/Robometer-4B-LIBERO" TargetMode="External"/><Relationship Id="rId10" Type="http://schemas.openxmlformats.org/officeDocument/2006/relationships/hyperlink" Target="https://arxiv.org/abs/2603.02115" TargetMode="External"/><Relationship Id="rId13" Type="http://schemas.openxmlformats.org/officeDocument/2006/relationships/hyperlink" Target="https://arxiv.org/abs/2506.01844" TargetMode="External"/><Relationship Id="rId12" Type="http://schemas.openxmlformats.org/officeDocument/2006/relationships/hyperlink" Target="https://arxiv.org/abs/2505.2370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xiv.org/abs/2509.25358" TargetMode="External"/><Relationship Id="rId14" Type="http://schemas.openxmlformats.org/officeDocument/2006/relationships/hyperlink" Target="https://arxiv.org/abs/2306.03310" TargetMode="External"/><Relationship Id="rId5" Type="http://schemas.openxmlformats.org/officeDocument/2006/relationships/styles" Target="styles.xml"/><Relationship Id="rId6" Type="http://schemas.openxmlformats.org/officeDocument/2006/relationships/hyperlink" Target="https://arxiv.org/abs/1906.02736" TargetMode="External"/><Relationship Id="rId7" Type="http://schemas.openxmlformats.org/officeDocument/2006/relationships/hyperlink" Target="https://arxiv.org/abs/2602.10098" TargetMode="External"/><Relationship Id="rId8" Type="http://schemas.openxmlformats.org/officeDocument/2006/relationships/hyperlink" Target="https://arxiv.org/abs/2509.2662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Caudex-regular.ttf"/><Relationship Id="rId5" Type="http://schemas.openxmlformats.org/officeDocument/2006/relationships/font" Target="fonts/Caudex-bold.ttf"/><Relationship Id="rId6" Type="http://schemas.openxmlformats.org/officeDocument/2006/relationships/font" Target="fonts/Caudex-italic.ttf"/><Relationship Id="rId7" Type="http://schemas.openxmlformats.org/officeDocument/2006/relationships/font" Target="fonts/Caudex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