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DIRECTOR NACIONAL DE PROGRAMAS ALIMENTARIOS: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las presentes actuaciones tramitan las gestiones inherentes a la celebración de un Convenio de Gestión a suscribirse entre la SECRETARÍA NACIONAL DE NIÑEZ, ADOLESCENCIA Y FAMILIA DEL MINISTERIO DE CAPITAL HUMANO y la </w:t>
      </w:r>
      <w:r w:rsidDel="00000000" w:rsidR="00000000" w:rsidRPr="00000000">
        <w:rPr>
          <w:sz w:val="20"/>
          <w:szCs w:val="20"/>
          <w:rtl w:val="0"/>
        </w:rPr>
        <w:t xml:space="preserve">{{ informe.nombre_organizacion }}</w:t>
      </w:r>
      <w:r w:rsidDel="00000000" w:rsidR="00000000" w:rsidRPr="00000000">
        <w:rPr>
          <w:sz w:val="20"/>
          <w:szCs w:val="20"/>
          <w:rtl w:val="0"/>
        </w:rPr>
        <w:t xml:space="preserve"> DE LA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informe.provincia_organizacion }}</w:t>
      </w:r>
      <w:r w:rsidDel="00000000" w:rsidR="00000000" w:rsidRPr="00000000">
        <w:rPr>
          <w:sz w:val="20"/>
          <w:szCs w:val="20"/>
          <w:rtl w:val="0"/>
        </w:rPr>
        <w:t xml:space="preserve">, en el marco del Programa ALIMENTAR COMUNIDAD.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de señalar que mediante Resolución del entonces MINISTERIO DE DESARROLLO SOCIAL DE LA NACIÓN N.° RESOL-2023-230-APN-MDS del 17 de febrero de 2023 y sus normas modificatorias y complementarias, se creó el Programa “ALIMENTAR COMUNIDAD”, a los fines de otorgar una prestación económica para la asistencia a Comedores y Merenderos Comunitarios, conforme a los Lineamientos Técnicos y Operativos fijados en el Anexo - IF-2025-32668963-APN-SSPH#MCH.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bookmarkStart w:colFirst="0" w:colLast="0" w:name="_heading=h.bm47d0rn381n" w:id="0"/>
      <w:bookmarkEnd w:id="0"/>
      <w:r w:rsidDel="00000000" w:rsidR="00000000" w:rsidRPr="00000000">
        <w:rPr>
          <w:sz w:val="20"/>
          <w:szCs w:val="20"/>
          <w:rtl w:val="0"/>
        </w:rPr>
        <w:t xml:space="preserve">En dicho contexto, la Entidad citada ha presentado una solicitud inherente al financiamiento del Comedor/Merendero “</w:t>
      </w:r>
      <w:r w:rsidDel="00000000" w:rsidR="00000000" w:rsidRPr="00000000">
        <w:rPr>
          <w:sz w:val="20"/>
          <w:szCs w:val="20"/>
          <w:rtl w:val="0"/>
        </w:rPr>
        <w:t xml:space="preserve">{{ informe.nombre_espacio }}</w:t>
      </w:r>
      <w:r w:rsidDel="00000000" w:rsidR="00000000" w:rsidRPr="00000000">
        <w:rPr>
          <w:sz w:val="20"/>
          <w:szCs w:val="20"/>
          <w:rtl w:val="0"/>
        </w:rPr>
        <w:t xml:space="preserve">” de la Ciudad de </w:t>
      </w:r>
      <w:r w:rsidDel="00000000" w:rsidR="00000000" w:rsidRPr="00000000">
        <w:rPr>
          <w:sz w:val="20"/>
          <w:szCs w:val="20"/>
          <w:rtl w:val="0"/>
        </w:rPr>
        <w:t xml:space="preserve">{{ informe.localidad_espacio }}</w:t>
      </w:r>
      <w:r w:rsidDel="00000000" w:rsidR="00000000" w:rsidRPr="00000000">
        <w:rPr>
          <w:sz w:val="20"/>
          <w:szCs w:val="20"/>
          <w:rtl w:val="0"/>
        </w:rPr>
        <w:t xml:space="preserve">, </w:t>
        <w:tab/>
        <w:t xml:space="preserve">Partido de </w:t>
      </w:r>
      <w:r w:rsidDel="00000000" w:rsidR="00000000" w:rsidRPr="00000000">
        <w:rPr>
          <w:sz w:val="20"/>
          <w:szCs w:val="20"/>
          <w:rtl w:val="0"/>
        </w:rPr>
        <w:t xml:space="preserve">{{ informe.partido_espacio }}</w:t>
      </w:r>
      <w:r w:rsidDel="00000000" w:rsidR="00000000" w:rsidRPr="00000000">
        <w:rPr>
          <w:sz w:val="20"/>
          <w:szCs w:val="20"/>
          <w:rtl w:val="0"/>
        </w:rPr>
        <w:t xml:space="preserve">,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informe.provincia_espacio }}</w:t>
      </w:r>
      <w:r w:rsidDel="00000000" w:rsidR="00000000" w:rsidRPr="00000000">
        <w:rPr>
          <w:sz w:val="20"/>
          <w:szCs w:val="20"/>
          <w:rtl w:val="0"/>
        </w:rPr>
        <w:t xml:space="preserve">, así como la documentación institucional correspondiente.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dicho efecto, y habiéndose verificado la existencia y/o funcionamiento del espacio objeto de financiamiento, y cumplidos los requisitos técnicos y administrativos previstos, dicha solicitud cuenta con evaluación técnica favorable conforme surge del Informe Técnico N° </w:t>
      </w:r>
      <w:r w:rsidDel="00000000" w:rsidR="00000000" w:rsidRPr="00000000">
        <w:rPr>
          <w:sz w:val="20"/>
          <w:szCs w:val="20"/>
          <w:rtl w:val="0"/>
        </w:rPr>
        <w:t xml:space="preserve">{{ admision.numero_if_tecnico 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misma constituye la continuidad del financiamiento del servicio alimentario en el marco del Programa citado, conforme surge de los antecedentes incorporados en las presentes actuaciones.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consecuencia, se sugiere dar curso al trámite conducente a la aprobación de un CONVENIO DE GESTIÓN a suscribirse con la Entidad Requirente citada precedentemente, que regule los aspectos inherentes al objeto de financiamiento, forma y condiciones de pago y acreditación, y prestación y alcance del servicio.</w:t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dicho Convenio, se prevee afectar fondos para el servicio alimentario correspondiente, así como un importe adicional equivalente al 6% del monto total de las prestaciones alimentarias aprobadas, el cual está destinado a financiar los Gastos Accesorios, tales como artículos de higiene y limpieza, insumos y/o gastos operativos de funcionamiento y/o conectividad. Este importe busca compensar los costos indirectos esenciales con la finalidad de garantizar la sostenibilidad operativa del efector y asegurar que la prestación se brinde en condiciones logísticas y sanitarias adecuadas, sin que estos afecten al normal y habitual funcionamiento del espacio en cuestión.</w:t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sz w:val="20"/>
          <w:szCs w:val="20"/>
          <w:shd w:fill="fce5cd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Finalmente, resulta pertinente señalar que el presente trámite se encuentra relacionado a la causa judicial caratulada como “</w:t>
      </w:r>
      <w:r w:rsidDel="00000000" w:rsidR="00000000" w:rsidRPr="00000000">
        <w:rPr>
          <w:sz w:val="20"/>
          <w:szCs w:val="20"/>
          <w:rtl w:val="0"/>
        </w:rPr>
        <w:t xml:space="preserve">{{ providencia.caratula_causa }}</w:t>
      </w:r>
      <w:r w:rsidDel="00000000" w:rsidR="00000000" w:rsidRPr="00000000">
        <w:rPr>
          <w:sz w:val="20"/>
          <w:szCs w:val="20"/>
          <w:rtl w:val="0"/>
        </w:rPr>
        <w:t xml:space="preserve">”, en trámite ante el </w:t>
      </w:r>
      <w:r w:rsidDel="00000000" w:rsidR="00000000" w:rsidRPr="00000000">
        <w:rPr>
          <w:sz w:val="20"/>
          <w:szCs w:val="20"/>
          <w:rtl w:val="0"/>
        </w:rPr>
        <w:t xml:space="preserve">{{ providencia.juzgado }}</w:t>
      </w:r>
      <w:r w:rsidDel="00000000" w:rsidR="00000000" w:rsidRPr="00000000">
        <w:rPr>
          <w:sz w:val="20"/>
          <w:szCs w:val="20"/>
          <w:rtl w:val="0"/>
        </w:rPr>
        <w:t xml:space="preserve">, teniéndose presente lo señalado en </w:t>
      </w:r>
      <w:r w:rsidDel="00000000" w:rsidR="00000000" w:rsidRPr="00000000">
        <w:rPr>
          <w:sz w:val="20"/>
          <w:szCs w:val="20"/>
          <w:rtl w:val="0"/>
        </w:rPr>
        <w:t xml:space="preserve">{{ providencia.memo }}</w:t>
      </w:r>
      <w:r w:rsidDel="00000000" w:rsidR="00000000" w:rsidRPr="00000000">
        <w:rPr>
          <w:sz w:val="20"/>
          <w:szCs w:val="20"/>
          <w:rtl w:val="0"/>
        </w:rPr>
        <w:t xml:space="preserve">, agregado a los presentes actuados; no resultando alcanzado, en consecuencia, por lo establecido en la Resolución N.° RESOL-2025-151-APN-MCH del 31 de marzo de 2025 en lo que respecta al límite de incorporaciones por cada entidad requirente.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agrega a los presentes actuados el proyecto de Convenio, en calidad de archivo de trabajo, así como su correspondiente documento identificado como</w:t>
      </w:r>
      <w:r w:rsidDel="00000000" w:rsidR="00000000" w:rsidRPr="00000000">
        <w:rPr>
          <w:sz w:val="20"/>
          <w:szCs w:val="20"/>
          <w:rtl w:val="0"/>
        </w:rPr>
        <w:t xml:space="preserve"> {{ proyecto_convenio_if }}</w:t>
      </w:r>
      <w:r w:rsidDel="00000000" w:rsidR="00000000" w:rsidRPr="00000000">
        <w:rPr>
          <w:sz w:val="20"/>
          <w:szCs w:val="20"/>
          <w:rtl w:val="0"/>
        </w:rPr>
        <w:t xml:space="preserve">, el cual cuenta con mi conformidad. 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lo expuesto con carácter precedente, se remiten los presentes actuados para la intervención de su competencia.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Hgk15+jI6HzZ9di37yW66epVdg==">CgMxLjAyDmguYm00N2Qwcm4zODFuOAByITE0c1BQV1hqdUhITWtzWGdpQmF1Vms5Qk4zWXZCQ2J4bg==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