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b/>
          <w:bCs/>
          <w:color w:val="1F4E79"/>
          <w:sz w:val="48"/>
          <w:szCs w:val="48"/>
        </w:rPr>
        <w:t xml:space="preserve">Выбор оборудования для локального LLM-сервера</w:t>
      </w:r>
    </w:p>
    <w:p>
      <w:pPr>
        <w:spacing w:after="240"/>
        <w:jc w:val="center"/>
      </w:pPr>
      <w:r>
        <w:rPr>
          <w:color w:val="2E75B6"/>
          <w:sz w:val="28"/>
          <w:szCs w:val="28"/>
        </w:rPr>
        <w:t xml:space="preserve">Исполнительное резюме</w:t>
      </w:r>
    </w:p>
    <w:p>
      <w:pPr>
        <w:spacing w:after="80"/>
        <w:jc w:val="center"/>
      </w:pPr>
      <w:r>
        <w:rPr>
          <w:color w:val="555555"/>
          <w:sz w:val="22"/>
          <w:szCs w:val="22"/>
        </w:rPr>
        <w:t xml:space="preserve">22 апреля 2026 г.</w:t>
      </w:r>
    </w:p>
    <w:p>
      <w:pPr>
        <w:spacing w:after="80"/>
        <w:jc w:val="center"/>
      </w:pPr>
      <w:r>
        <w:rPr>
          <w:color w:val="555555"/>
          <w:sz w:val="22"/>
          <w:szCs w:val="22"/>
        </w:rPr>
        <w:t xml:space="preserve">Автор: Отдел НИОКР</w:t>
      </w:r>
    </w:p>
    <w:p>
      <w:pPr>
        <w:spacing w:after="80"/>
        <w:jc w:val="center"/>
      </w:pPr>
      <w:r>
        <w:rPr>
          <w:color w:val="555555"/>
          <w:sz w:val="22"/>
          <w:szCs w:val="22"/>
        </w:rPr>
        <w:t xml:space="preserve">Аудитория: руководство, финансовый блок, IT-директор</w:t>
      </w:r>
    </w:p>
    <w:p>
      <w:pPr>
        <w:spacing w:after="480"/>
        <w:jc w:val="center"/>
      </w:pPr>
      <w:r>
        <w:rPr>
          <w:color w:val="555555"/>
          <w:sz w:val="22"/>
          <w:szCs w:val="22"/>
        </w:rPr>
        <w:t xml:space="preserve">Версия 2.0</w:t>
      </w:r>
    </w:p>
    <w:p>
      <w:r>
        <w:br w:type="page"/>
      </w:r>
    </w:p>
    <w:p>
      <w:pPr>
        <w:pStyle w:val="Heading1"/>
        <w:spacing w:after="180" w:before="320"/>
      </w:pPr>
      <w:r>
        <w:rPr>
          <w:b/>
          <w:bCs/>
          <w:color w:val="1F4E79"/>
          <w:sz w:val="36"/>
          <w:szCs w:val="36"/>
        </w:rPr>
        <w:t xml:space="preserve">1. Цель документа</w:t>
      </w:r>
    </w:p>
    <w:p>
      <w:pPr>
        <w:spacing w:after="100"/>
        <w:jc w:val="both"/>
      </w:pPr>
      <w:r>
        <w:rPr>
          <w:color w:val="1A1A1A"/>
          <w:sz w:val="22"/>
          <w:szCs w:val="22"/>
        </w:rPr>
        <w:t xml:space="preserve">Обосновать выбор серверной конфигурации для размещения локальных больших языковых моделей, обеспечивающих работу не менее трёх разработчиков одновременно с программными агентами, с возможностью периодического дообучения моделей 7–14 B.</w:t>
      </w:r>
    </w:p>
    <w:p>
      <w:pPr>
        <w:spacing w:after="100"/>
        <w:jc w:val="both"/>
      </w:pPr>
      <w:r>
        <w:rPr>
          <w:color w:val="1A1A1A"/>
          <w:sz w:val="22"/>
          <w:szCs w:val="22"/>
        </w:rPr>
        <w:t xml:space="preserve">Документ не обсуждает стоимость. Он отвечает на вопрос: какая минимальная и какая оптимальная конфигурация даёт плавную работу трёх специалистов с локальной моделью, не уступающей по скорости облачным сервисам?</w:t>
      </w:r>
    </w:p>
    <w:p>
      <w:pPr>
        <w:pStyle w:val="Heading1"/>
        <w:spacing w:after="180" w:before="320"/>
      </w:pPr>
      <w:r>
        <w:rPr>
          <w:b/>
          <w:bCs/>
          <w:color w:val="1F4E79"/>
          <w:sz w:val="36"/>
          <w:szCs w:val="36"/>
        </w:rPr>
        <w:t xml:space="preserve">2. Краткий вывод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3200"/>
        <w:gridCol w:w="3840"/>
      </w:tblGrid>
      <w:tr>
        <w:trPr>
          <w:tblHeader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№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Сценарий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Рекомендуемая конфигурация</w:t>
            </w:r>
          </w:p>
        </w:tc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Обоснование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Минимально-достаточно (1–3 разработчика, редкие пики)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2 × RTX 5090 (32 ГБ)</w:t>
            </w:r>
          </w:p>
        </w:tc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64 ГБ суммарной VRAM, все модели кроме GLM-5.1. Сопоставима с 1 × H100 по пропускной способности.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Рекомендуемо (3 разработчика + QLoRA 7–14 B)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1 × AMD Instinct MI300X (192 ГБ)</w:t>
            </w:r>
          </w:p>
        </w:tc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Серверный класс, 192 ГБ HBM3, нативная поддержка vLLM/ROCm 7. Одна карта, одна машина.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С запасом (рост до 5–10 польз., регулярное дообучение)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1–2 × MI300X или 4 × RTX 4090</w:t>
            </w:r>
          </w:p>
        </w:tc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Две MI300X = 384 ГБ, поднимает GLM-5.1 в INT4. Альтернатива — четыре RTX 4090.</w:t>
            </w:r>
          </w:p>
        </w:tc>
      </w:tr>
    </w:tbl>
    <w:p>
      <w:pPr>
        <w:spacing w:after="100"/>
        <w:jc w:val="both"/>
      </w:pPr>
      <w:r>
        <w:rPr>
          <w:color w:val="1A1A1A"/>
          <w:sz w:val="22"/>
          <w:szCs w:val="22"/>
        </w:rPr>
        <w:t xml:space="preserve"/>
      </w:r>
    </w:p>
    <w:p>
      <w:pPr>
        <w:spacing w:after="100"/>
        <w:jc w:val="both"/>
      </w:pPr>
      <w:r>
        <w:rPr>
          <w:color w:val="1A1A1A"/>
          <w:sz w:val="22"/>
          <w:szCs w:val="22"/>
        </w:rPr>
        <w:t xml:space="preserve">Не рекомендуется к закупке: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AMD MI210 и MI250 — сняты с основного пути поддержки AMD.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RTX 5060 Ti и RTX 5080 (16 ГБ) — недостаточно памяти для надёжной работы трёх пользователей.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AMD MI350 — избыточная мощность для заявленной задачи.</w:t>
      </w:r>
    </w:p>
    <w:p>
      <w:pPr>
        <w:pStyle w:val="Heading1"/>
        <w:spacing w:after="180" w:before="320"/>
      </w:pPr>
      <w:r>
        <w:rPr>
          <w:b/>
          <w:bCs/>
          <w:color w:val="1F4E79"/>
          <w:sz w:val="36"/>
          <w:szCs w:val="36"/>
        </w:rPr>
        <w:t xml:space="preserve">3. Ключевые ограничения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3.1. Видеопамять — главный параметр GPU</w:t>
      </w:r>
    </w:p>
    <w:p>
      <w:pPr>
        <w:spacing w:after="100"/>
        <w:jc w:val="both"/>
      </w:pPr>
      <w:r>
        <w:rPr>
          <w:color w:val="1A1A1A"/>
          <w:sz w:val="22"/>
          <w:szCs w:val="22"/>
        </w:rPr>
        <w:t xml:space="preserve">Модель LLM — это файл с весовыми коэффициентами. Чтобы модель работала, весь этот файл должен быть загружен в видеопамять карты. Если памяти не хватает, часть модели хранится в оперативной памяти компьютера, что замедляет работу в десятки раз.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2933700"/>
            <wp:effectExtent t="0" r="0" b="0" l="0"/>
            <wp:docPr id="1" name="01_model_vram.png" descr="Сколько видеопамяти нужно моделям после квантизации" title="Сколько видеопамяти нужно моделям после квантизац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40"/>
        <w:jc w:val="center"/>
      </w:pPr>
      <w:r>
        <w:rPr>
          <w:color w:val="555555"/>
          <w:sz w:val="20"/>
          <w:szCs w:val="20"/>
        </w:rPr>
        <w:t xml:space="preserve">Сколько видеопамяти нужно моделям после квантизации</w:t>
      </w:r>
    </w:p>
    <w:p>
      <w:pPr>
        <w:spacing w:after="100"/>
        <w:jc w:val="both"/>
      </w:pPr>
      <w:r>
        <w:rPr>
          <w:color w:val="1A1A1A"/>
          <w:sz w:val="22"/>
          <w:szCs w:val="22"/>
        </w:rPr>
        <w:t xml:space="preserve">Модель glm-5.1 — публичная, но очень требовательная. В обычном виде занимает около 1.5 ТБ, после сжатия AWQ INT4 — 380 ГБ. Физически не помещается ни в одну из заявленных карт.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3.2. Видеопамять разных карт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2933700"/>
            <wp:effectExtent t="0" r="0" b="0" l="0"/>
            <wp:docPr id="1" name="02_gpu_capacity.png" descr="Видеопамять одной карты каждого типа" title="Видеопамять одной карты каждого тип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40"/>
        <w:jc w:val="center"/>
      </w:pPr>
      <w:r>
        <w:rPr>
          <w:color w:val="555555"/>
          <w:sz w:val="20"/>
          <w:szCs w:val="20"/>
        </w:rPr>
        <w:t xml:space="preserve">Видеопамять одной карты каждого типа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3.3. Почему при работе трёх пользователей возникает торможение</w:t>
      </w:r>
    </w:p>
    <w:p>
      <w:pPr>
        <w:spacing w:after="100"/>
        <w:jc w:val="both"/>
      </w:pPr>
      <w:r>
        <w:rPr>
          <w:color w:val="1A1A1A"/>
          <w:sz w:val="22"/>
          <w:szCs w:val="22"/>
        </w:rPr>
        <w:t xml:space="preserve">Типичный запрос разработчика — «напиши функцию», «покажи ошибку», «найди все места использования» — порождает десятки подзапросов, которые агент отправляет модели. Три пользователя порождают шторм из 30–150 параллельных запросов.</w:t>
      </w:r>
    </w:p>
    <w:p>
      <w:pPr>
        <w:spacing w:after="100"/>
        <w:jc w:val="both"/>
      </w:pPr>
      <w:r>
        <w:rPr>
          <w:color w:val="1A1A1A"/>
          <w:sz w:val="22"/>
          <w:szCs w:val="22"/>
        </w:rPr>
        <w:t xml:space="preserve">Программы-серверы LLM делятся на два типа: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Простые (Ollama, LM Studio) обрабатывают запросы по очереди. Первый получает ответ, остальные ждут. Пользователи видят это как «программа зависла».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Серверные (vLLM, SGLang) используют «непрерывную пакетную обработку» — обрабатывают десятки запросов одновременно в одном GPU-проходе.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2933700"/>
            <wp:effectExtent t="0" r="0" b="0" l="0"/>
            <wp:docPr id="1" name="04_latency_ollama_vs_vllm.png" descr="Задержка отклика LLM при росте нагрузки" title="Задержка отклика LLM при росте нагруз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40"/>
        <w:jc w:val="center"/>
      </w:pPr>
      <w:r>
        <w:rPr>
          <w:color w:val="555555"/>
          <w:sz w:val="20"/>
          <w:szCs w:val="20"/>
        </w:rPr>
        <w:t xml:space="preserve">Задержка отклика LLM при росте нагрузки</w:t>
      </w:r>
    </w:p>
    <w:p>
      <w:pPr>
        <w:spacing w:after="100"/>
        <w:jc w:val="both"/>
      </w:pPr>
      <w:r>
        <w:rPr>
          <w:color w:val="1A1A1A"/>
          <w:sz w:val="22"/>
          <w:szCs w:val="22"/>
        </w:rPr>
        <w:t xml:space="preserve">Измерения 2026 года: при 50 одновременных запросах Ollama даёт задержку 99-й перцентили 24.7 секунды, vLLM на том же железе — менее 3 секунд при шестикратно большей пропускной способности.</w:t>
      </w:r>
    </w:p>
    <w:p>
      <w:pPr>
        <w:spacing w:after="100"/>
        <w:jc w:val="both"/>
      </w:pPr>
      <w:r>
        <w:rPr>
          <w:color w:val="1A1A1A"/>
          <w:sz w:val="22"/>
          <w:szCs w:val="22"/>
        </w:rPr>
        <w:t xml:space="preserve">Выбор серверной программы столь же важен, как выбор карты.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3.4. Дообучение (LoRA, QLoRA)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LoRA добавляет к модели «адаптер» (1–5 % от размера). Требует памяти примерно на 30 % больше обычного использования.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QLoRA — то же, но модель хранится в сжатом виде. Требование к памяти снижается до уровня обычного использования.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2933700"/>
            <wp:effectExtent t="0" r="0" b="0" l="0"/>
            <wp:docPr id="1" name="05_lora_vs_qlora.png" descr="Требования памяти: инференс vs LoRA vs QLoRA" title="Требования памяти: инференс vs LoRA vs QLo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40"/>
        <w:jc w:val="center"/>
      </w:pPr>
      <w:r>
        <w:rPr>
          <w:color w:val="555555"/>
          <w:sz w:val="20"/>
          <w:szCs w:val="20"/>
        </w:rPr>
        <w:t xml:space="preserve">Требования памяти: инференс vs LoRA vs QLoRA</w:t>
      </w:r>
    </w:p>
    <w:p>
      <w:pPr>
        <w:spacing w:after="100"/>
        <w:jc w:val="both"/>
      </w:pPr>
      <w:r>
        <w:rPr>
          <w:color w:val="1A1A1A"/>
          <w:sz w:val="22"/>
          <w:szCs w:val="22"/>
        </w:rPr>
        <w:t xml:space="preserve">Для заявленной задачи (периодическое QLoRA над моделями 7–14 B) достаточно любой конфигурации с 16 ГБ+ на одной карте.</w:t>
      </w:r>
    </w:p>
    <w:p>
      <w:pPr>
        <w:pStyle w:val="Heading1"/>
        <w:spacing w:after="180" w:before="320"/>
      </w:pPr>
      <w:r>
        <w:rPr>
          <w:b/>
          <w:bCs/>
          <w:color w:val="1F4E79"/>
          <w:sz w:val="36"/>
          <w:szCs w:val="36"/>
        </w:rPr>
        <w:t xml:space="preserve">4. Все варианты конфигураций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2933700"/>
            <wp:effectExtent t="0" r="0" b="0" l="0"/>
            <wp:docPr id="1" name="03_all_configs_vram.png" descr="Суммарная VRAM для всех возможных конфигураций из списка закупки" title="Суммарная VRAM для всех возможных конфигураций из списка закуп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40"/>
        <w:jc w:val="center"/>
      </w:pPr>
      <w:r>
        <w:rPr>
          <w:color w:val="555555"/>
          <w:sz w:val="20"/>
          <w:szCs w:val="20"/>
        </w:rPr>
        <w:t xml:space="preserve">Суммарная VRAM для всех возможных конфигураций из списка закупки</w:t>
      </w:r>
    </w:p>
    <w:p>
      <w:pPr>
        <w:spacing w:after="100"/>
        <w:jc w:val="both"/>
      </w:pPr>
      <w:r>
        <w:rPr>
          <w:color w:val="1A1A1A"/>
          <w:sz w:val="22"/>
          <w:szCs w:val="22"/>
        </w:rPr>
        <w:t xml:space="preserve">Цветовая кодировка: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Красное: менее 20 ГБ — недостаточно для 3 пользователей даже на моделях 14 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Оранжевое: 20–40 ГБ — работает с одним пользователем или минимальным контекстом.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Голубое: 40–96 ГБ — комфортная работа 3–10 пользователей.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Зелёное: более 96 ГБ — масштаб плюс дообучение больших моделей.</w:t>
      </w:r>
    </w:p>
    <w:p>
      <w:pPr>
        <w:pStyle w:val="Heading1"/>
        <w:spacing w:after="180" w:before="320"/>
      </w:pPr>
      <w:r>
        <w:rPr>
          <w:b/>
          <w:bCs/>
          <w:color w:val="1F4E79"/>
          <w:sz w:val="36"/>
          <w:szCs w:val="36"/>
        </w:rPr>
        <w:t xml:space="preserve">5. Сколько пользователей держит каждая конфигурация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2933700"/>
            <wp:effectExtent t="0" r="0" b="0" l="0"/>
            <wp:docPr id="1" name="09_users_capacity_heatmap.png" descr="Оценочная ёмкость по одновременным пользователям на модель" title="Оценочная ёмкость по одновременным пользователям на модел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40"/>
        <w:jc w:val="center"/>
      </w:pPr>
      <w:r>
        <w:rPr>
          <w:color w:val="555555"/>
          <w:sz w:val="20"/>
          <w:szCs w:val="20"/>
        </w:rPr>
        <w:t xml:space="preserve">Оценочная ёмкость по одновременным пользователям на модель</w:t>
      </w:r>
    </w:p>
    <w:p>
      <w:pPr>
        <w:spacing w:after="100"/>
        <w:jc w:val="both"/>
      </w:pPr>
      <w:r>
        <w:rPr>
          <w:color w:val="1A1A1A"/>
          <w:sz w:val="22"/>
          <w:szCs w:val="22"/>
        </w:rPr>
        <w:t xml:space="preserve">Значения — при использовании vLLM с continuous batching, контекст 16К токенов, нагрузка от агентов. «нет VRAM» означает что модель физически не помещается в суммарную память конфигурации.</w:t>
      </w:r>
    </w:p>
    <w:p>
      <w:pPr>
        <w:pStyle w:val="Heading1"/>
        <w:spacing w:after="180" w:before="320"/>
      </w:pPr>
      <w:r>
        <w:rPr>
          <w:b/>
          <w:bCs/>
          <w:color w:val="1F4E79"/>
          <w:sz w:val="36"/>
          <w:szCs w:val="36"/>
        </w:rPr>
        <w:t xml:space="preserve">6. Разбор предложенных GPU по группам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6.1. Слабые потребительские 16 ГБ — RTX 5060 Ti и RTX 5080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00"/>
        <w:gridCol w:w="1200"/>
        <w:gridCol w:w="1200"/>
        <w:gridCol w:w="1200"/>
        <w:gridCol w:w="1100"/>
        <w:gridCol w:w="1100"/>
        <w:gridCol w:w="1940"/>
      </w:tblGrid>
      <w:tr>
        <w:trPr>
          <w:tblHeader/>
        </w:trP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Кол-во карт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VRAM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14B dense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20B MoE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35B MoE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3 польз.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LoRA 14B</w:t>
            </w:r>
          </w:p>
        </w:tc>
        <w:tc>
          <w:tcPr>
            <w:tcW w:type="dxa" w:w="19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Итог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16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Впритык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Впритык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Нет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Нет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Нет</w:t>
            </w:r>
          </w:p>
        </w:tc>
        <w:tc>
          <w:tcPr>
            <w:tcW w:type="dxa" w:w="19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Single-user экспериментарий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32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Да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Да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Нет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2–3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Нет</w:t>
            </w:r>
          </w:p>
        </w:tc>
        <w:tc>
          <w:tcPr>
            <w:tcW w:type="dxa" w:w="19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Минимально серверная, до 20B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64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Да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Да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Через TP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8–12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1 карта</w:t>
            </w:r>
          </w:p>
        </w:tc>
        <w:tc>
          <w:tcPr>
            <w:tcW w:type="dxa" w:w="19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Работает с оговорками</w:t>
            </w:r>
          </w:p>
        </w:tc>
      </w:tr>
    </w:tbl>
    <w:p>
      <w:pPr>
        <w:spacing w:after="100"/>
        <w:jc w:val="both"/>
      </w:pPr>
      <w:r>
        <w:rPr>
          <w:color w:val="1A1A1A"/>
          <w:sz w:val="22"/>
          <w:szCs w:val="22"/>
        </w:rPr>
        <w:t xml:space="preserve"/>
      </w:r>
    </w:p>
    <w:p>
      <w:pPr>
        <w:spacing w:after="100"/>
        <w:jc w:val="both"/>
      </w:pPr>
      <w:r>
        <w:rPr>
          <w:color w:val="1A1A1A"/>
          <w:sz w:val="22"/>
          <w:szCs w:val="22"/>
        </w:rPr>
        <w:t xml:space="preserve">Оба варианта (5060 Ti и 5080) имеют одну проблему — 16 ГБ не хватает. RTX 5080 быстрее за счёт памяти (960 ГБ/с против 448), но потолок тот же. Для серверной работы с тремя пользователями эти карты не подходят в одиночной конфигурации.</w:t>
      </w:r>
    </w:p>
    <w:p>
      <w:pPr>
        <w:spacing w:after="100"/>
        <w:jc w:val="both"/>
      </w:pPr>
      <w:r>
        <w:rPr>
          <w:color w:val="1A1A1A"/>
          <w:sz w:val="22"/>
          <w:szCs w:val="22"/>
        </w:rPr>
        <w:t xml:space="preserve">Сценарий «4 × RTX 5060 Ti или 4 × RTX 5080» подробно разобран в техническом документе — суммарных 64 ГБ хватает, но без NVLink появляются существенные ограничения.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6.2. Средние потребительские — RTX 4090 и RTX 5090</w:t>
      </w:r>
    </w:p>
    <w:tbl>
      <w:tblPr>
        <w:tblW w:type="dxa" w:w="8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1200"/>
        <w:gridCol w:w="1000"/>
        <w:gridCol w:w="1000"/>
        <w:gridCol w:w="1100"/>
        <w:gridCol w:w="1100"/>
        <w:gridCol w:w="940"/>
      </w:tblGrid>
      <w:tr>
        <w:trPr>
          <w:tblHeader/>
        </w:trP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Конфигурация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VRAM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3 польз.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35B MoE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70B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LoRA 14B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LoRA 35B</w:t>
            </w:r>
          </w:p>
        </w:tc>
        <w:tc>
          <w:tcPr>
            <w:tcW w:type="dxa" w:w="9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Итог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1× RTX 4090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24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До 4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Да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Нет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Да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Нет</w:t>
            </w:r>
          </w:p>
        </w:tc>
        <w:tc>
          <w:tcPr>
            <w:tcW w:type="dxa" w:w="9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Минимум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2× RTX 4090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48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До 8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Да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TP Q4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Да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Нет</w:t>
            </w:r>
          </w:p>
        </w:tc>
        <w:tc>
          <w:tcPr>
            <w:tcW w:type="dxa" w:w="9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Малая команда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3× RTX 4090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72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До 12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Да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Да Q4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Да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Да</w:t>
            </w:r>
          </w:p>
        </w:tc>
        <w:tc>
          <w:tcPr>
            <w:tcW w:type="dxa" w:w="9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Спец-сборка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4× RTX 4090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96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До 16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Да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Да Q4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Да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Да (QLoRA)</w:t>
            </w:r>
          </w:p>
        </w:tc>
        <w:tc>
          <w:tcPr>
            <w:tcW w:type="dxa" w:w="9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Workstation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1× RTX 5090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32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До 6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Да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Нет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Да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Нет</w:t>
            </w:r>
          </w:p>
        </w:tc>
        <w:tc>
          <w:tcPr>
            <w:tcW w:type="dxa" w:w="9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Одиночная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2× RTX 5090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64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До 14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Да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Q4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Да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Ограниченно</w:t>
            </w:r>
          </w:p>
        </w:tc>
        <w:tc>
          <w:tcPr>
            <w:tcW w:type="dxa" w:w="9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Оптимум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6.3. Устаревшие серверные — MI210 и MI250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400"/>
        <w:gridCol w:w="1800"/>
        <w:gridCol w:w="166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Конфигурация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VRAM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Поддержка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Prebuilt vLLM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Итог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1× MI210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64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Завершается (CDNA 2, 2021)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Нет (ручная сборка)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C62828"/>
                <w:sz w:val="20"/>
                <w:szCs w:val="20"/>
              </w:rPr>
              <w:t xml:space="preserve">Не рекомендуется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2× MI210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128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То же + баги multi-GPU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Нет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C62828"/>
                <w:sz w:val="20"/>
                <w:szCs w:val="20"/>
              </w:rPr>
              <w:t xml:space="preserve">Не рекомендуется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1× MI250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128 (2×64)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То же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Нет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C62828"/>
                <w:sz w:val="20"/>
                <w:szCs w:val="20"/>
              </w:rPr>
              <w:t xml:space="preserve">Не рекомендуется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2× MI250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256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То же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Нет</w:t>
            </w:r>
          </w:p>
        </w:tc>
        <w:tc>
          <w:tcPr>
            <w:tcW w:type="dxa" w:w="1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C62828"/>
                <w:sz w:val="20"/>
                <w:szCs w:val="20"/>
              </w:rPr>
              <w:t xml:space="preserve">Не рекомендуется</w:t>
            </w:r>
          </w:p>
        </w:tc>
      </w:tr>
    </w:tbl>
    <w:p>
      <w:pPr>
        <w:spacing w:after="100"/>
        <w:jc w:val="both"/>
      </w:pPr>
      <w:r>
        <w:rPr>
          <w:color w:val="1A1A1A"/>
          <w:sz w:val="22"/>
          <w:szCs w:val="22"/>
        </w:rPr>
        <w:t xml:space="preserve"/>
      </w:r>
    </w:p>
    <w:p>
      <w:pPr>
        <w:spacing w:after="100"/>
        <w:jc w:val="both"/>
      </w:pPr>
      <w:r>
        <w:rPr>
          <w:color w:val="1A1A1A"/>
          <w:sz w:val="22"/>
          <w:szCs w:val="22"/>
        </w:rPr>
        <w:t xml:space="preserve">Prebuilt Docker-образы AMD для vLLM (rocm/vllm) исключают MI210/MI250 из списка поддержки начиная с ROCm 7.0. Требуется самостоятельная сборка. Риск потери актуальной поддержки — 12–18 месяцев. MI250 также двухчиповая — требует спец. настройки inter-chip коммуникации.</w:t>
      </w:r>
    </w:p>
    <w:p>
      <w:pPr>
        <w:spacing w:after="100"/>
        <w:jc w:val="both"/>
      </w:pPr>
      <w:r>
        <w:rPr>
          <w:color w:val="1A1A1A"/>
          <w:sz w:val="22"/>
          <w:szCs w:val="22"/>
        </w:rPr>
        <w:t xml:space="preserve">Единственный сценарий покупки: если организация уже владеет такой картой и имеет собственную экспертизу ROCm. Новая закупка в 2026 году не оправдана.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6.4. Современные серверные — MI300X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400"/>
        <w:gridCol w:w="1200"/>
        <w:gridCol w:w="1200"/>
        <w:gridCol w:w="1400"/>
        <w:gridCol w:w="1060"/>
      </w:tblGrid>
      <w:tr>
        <w:trPr>
          <w:tblHeader/>
        </w:trP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Конфигурация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VRAM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3 польз.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35B MoE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GLM-5.1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Масштаб</w:t>
            </w:r>
          </w:p>
        </w:tc>
        <w:tc>
          <w:tcPr>
            <w:tcW w:type="dxa" w:w="1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Итог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1× MI300X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192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Да, с запасом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Да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Нет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25–30 польз.</w:t>
            </w:r>
          </w:p>
        </w:tc>
        <w:tc>
          <w:tcPr>
            <w:tcW w:type="dxa" w:w="1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Оптимум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2× MI300X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384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Да, огромный запас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Да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Да (INT4)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50–60 польз.</w:t>
            </w:r>
          </w:p>
        </w:tc>
        <w:tc>
          <w:tcPr>
            <w:tcW w:type="dxa" w:w="1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E7D32"/>
                <w:sz w:val="20"/>
                <w:szCs w:val="20"/>
              </w:rPr>
              <w:t xml:space="preserve">С запасом</w:t>
            </w:r>
          </w:p>
        </w:tc>
      </w:tr>
    </w:tbl>
    <w:p>
      <w:pPr>
        <w:spacing w:after="100"/>
        <w:jc w:val="both"/>
      </w:pPr>
      <w:r>
        <w:rPr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192 ГБ в одной карте — помещает модель плюс KV-кеши 20+ одновременных пользователей.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Полная поддержка ROCm 7.0 + vLLM (официальный prebuilt Docker от AMD).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Оптимизации ROCM_AITER_FA дают 2.8–4.6x TPOT speedup против предыдущих поколений.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Активная поддержка производителем до 2028–2029 гг.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8"/>
          <w:szCs w:val="28"/>
        </w:rPr>
        <w:t xml:space="preserve">6.5. Флагманские серверные — MI350</w:t>
      </w:r>
    </w:p>
    <w:p>
      <w:pPr>
        <w:spacing w:after="100"/>
        <w:jc w:val="both"/>
      </w:pPr>
      <w:r>
        <w:rPr>
          <w:color w:val="1A1A1A"/>
          <w:sz w:val="22"/>
          <w:szCs w:val="22"/>
        </w:rPr>
        <w:t xml:space="preserve">Архитектура CDNA 4, ~288 ГБ HBM3e. Преимущества: нативный MXFP4 / FP4, +80 % FP8 против MI300X.</w:t>
      </w:r>
    </w:p>
    <w:p>
      <w:pPr>
        <w:spacing w:after="100"/>
        <w:jc w:val="both"/>
      </w:pPr>
      <w:r>
        <w:rPr>
          <w:color w:val="1A1A1A"/>
          <w:sz w:val="22"/>
          <w:szCs w:val="22"/>
        </w:rPr>
        <w:t xml:space="preserve">Для заявленной задачи (3 разработчика, модели до 35 B, QLoRA 7–14 B) флагман избыточен. Оправдан при планах на 50+ пользователей или работе с моделями 100 B+.</w:t>
      </w:r>
    </w:p>
    <w:p>
      <w:pPr>
        <w:pStyle w:val="Heading1"/>
        <w:spacing w:after="180" w:before="320"/>
      </w:pPr>
      <w:r>
        <w:rPr>
          <w:b/>
          <w:bCs/>
          <w:color w:val="1F4E79"/>
          <w:sz w:val="36"/>
          <w:szCs w:val="36"/>
        </w:rPr>
        <w:t xml:space="preserve">7. Операционная система</w:t>
      </w:r>
    </w:p>
    <w:p>
      <w:pPr>
        <w:spacing w:after="100"/>
        <w:jc w:val="both"/>
      </w:pPr>
      <w:r>
        <w:rPr>
          <w:color w:val="1A1A1A"/>
          <w:sz w:val="22"/>
          <w:szCs w:val="22"/>
        </w:rPr>
        <w:t xml:space="preserve">Сервер должен работать под Linux. Ни одна из программ промышленного уровня (vLLM, SGLang, TensorRT-LLM, свежие версии ROCm) не имеет полноценной серверной поддержки Windows.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Оборудование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Рекомендация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NVIDIA RTX серии 40/50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Ubuntu 24.04 LTS (первичный) или Ubuntu 22.04 LTS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AMD MI210 / MI250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Ubuntu 22.04 LTS или RHEL 9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AMD MI300X / MI350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Ubuntu 24.04 LTS или RHEL 9</w:t>
            </w:r>
          </w:p>
        </w:tc>
      </w:tr>
    </w:tbl>
    <w:p>
      <w:pPr>
        <w:spacing w:after="100"/>
        <w:jc w:val="both"/>
      </w:pPr>
      <w:r>
        <w:rPr>
          <w:color w:val="1A1A1A"/>
          <w:sz w:val="22"/>
          <w:szCs w:val="22"/>
        </w:rPr>
        <w:t xml:space="preserve"/>
      </w:r>
    </w:p>
    <w:p>
      <w:pPr>
        <w:spacing w:after="100"/>
        <w:jc w:val="both"/>
      </w:pPr>
      <w:r>
        <w:rPr>
          <w:color w:val="1A1A1A"/>
          <w:sz w:val="22"/>
          <w:szCs w:val="22"/>
        </w:rPr>
        <w:t xml:space="preserve">Windows рассматривается только как среда для разработки клиентской части (IDE разработчика, инструменты). Сам сервер LLM — Linux.</w:t>
      </w:r>
    </w:p>
    <w:p>
      <w:pPr>
        <w:pStyle w:val="Heading1"/>
        <w:spacing w:after="180" w:before="320"/>
      </w:pPr>
      <w:r>
        <w:rPr>
          <w:b/>
          <w:bCs/>
          <w:color w:val="1F4E79"/>
          <w:sz w:val="36"/>
          <w:szCs w:val="36"/>
        </w:rPr>
        <w:t xml:space="preserve">8. Параметры серверного компьютера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Вариант A (4× RTX 4090 / 2× RTX 5090)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Вариант B (1× MI300X)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Процессор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Threadripper Pro 7965WX (24 ядра)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2 × EPYC 9354 (64 ядра суммарно)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ОЗУ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256 ГБ DDR5 ECC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512 ГБ DDR5 ECC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Материнская плата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WRX90, 7 × PCIe 5.0 x16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Dell XE9680 / Supermicro AS-8125GS-TNMR2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Системный диск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2 × 2 ТБ NVMe Gen5 (RAID 1)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2 × 3.84 ТБ NVMe (RAID 1)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Диск моделей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4 × 4 ТБ NVMe Gen5 (RAID 10)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4 × 7.68 ТБ NVMe (RAID 10)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Сеть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10 GbE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2 × 25 GbE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Блок питания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2 × 1600 Вт Titanium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4 × 2000 Вт Platinum (N+N)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Корпус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Full-tower рабочая станция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4U rack-mount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Охлаждение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Воздушное, 8+ вентиляторов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Серверное, стойка ≤ 22 °C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ОС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Ubuntu 24.04 LTS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Ubuntu 24.04 LTS</w:t>
            </w:r>
          </w:p>
        </w:tc>
      </w:tr>
    </w:tbl>
    <w:p>
      <w:pPr>
        <w:pStyle w:val="Heading1"/>
        <w:spacing w:after="180" w:before="320"/>
      </w:pPr>
      <w:r>
        <w:rPr>
          <w:b/>
          <w:bCs/>
          <w:color w:val="1F4E79"/>
          <w:sz w:val="36"/>
          <w:szCs w:val="36"/>
        </w:rPr>
        <w:t xml:space="preserve">9. Сценарий роста нагрузки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2933700"/>
            <wp:effectExtent t="0" r="0" b="0" l="0"/>
            <wp:docPr id="1" name="10_growth_scenario.png" descr="Прогноз роста числа пользователей и потолки конфигураций" title="Прогноз роста числа пользователей и потолки конфигураци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40"/>
        <w:jc w:val="center"/>
      </w:pPr>
      <w:r>
        <w:rPr>
          <w:color w:val="555555"/>
          <w:sz w:val="20"/>
          <w:szCs w:val="20"/>
        </w:rPr>
        <w:t xml:space="preserve">Прогноз роста числа пользователей и потолки конфигураций</w:t>
      </w:r>
    </w:p>
    <w:p>
      <w:pPr>
        <w:spacing w:after="100"/>
        <w:jc w:val="both"/>
      </w:pPr>
      <w:r>
        <w:rPr>
          <w:color w:val="1A1A1A"/>
          <w:sz w:val="22"/>
          <w:szCs w:val="22"/>
        </w:rPr>
        <w:t xml:space="preserve">Прогноз за два года: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Старт: 3 разработчика.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6 месяцев: 5 (подключение тестировщиков).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12 месяцев: 7 (расширение команды).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18 месяцев: 10 (фоновые процессы, review-агенты, тесты).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24 месяца: 15 (интеграция с корпоративными инструментами).</w:t>
      </w:r>
    </w:p>
    <w:p>
      <w:pPr>
        <w:spacing w:after="100"/>
        <w:jc w:val="both"/>
      </w:pPr>
      <w:r>
        <w:rPr>
          <w:color w:val="1A1A1A"/>
          <w:sz w:val="22"/>
          <w:szCs w:val="22"/>
        </w:rPr>
        <w:t xml:space="preserve">Потолки конфигураций: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1 × RTX 4090 / RTX 5090: до 5–6 пользователей (хватит на 3–6 месяцев).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4 × RTX 4090 или 2 × RTX 5090: до 12–14 пользователей (хватит на 18–24 месяца).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1 × MI300X: до 25–30 пользователей (хватит на 3+ года).</w:t>
      </w:r>
    </w:p>
    <w:p>
      <w:pPr>
        <w:pStyle w:val="Heading1"/>
        <w:spacing w:after="180" w:before="320"/>
      </w:pPr>
      <w:r>
        <w:rPr>
          <w:b/>
          <w:bCs/>
          <w:color w:val="1F4E79"/>
          <w:sz w:val="36"/>
          <w:szCs w:val="36"/>
        </w:rPr>
        <w:t xml:space="preserve">10. Финальная рекомендация</w:t>
      </w:r>
    </w:p>
    <w:p>
      <w:pPr>
        <w:spacing w:after="100"/>
        <w:jc w:val="both"/>
      </w:pPr>
      <w:r>
        <w:rPr>
          <w:color w:val="1A1A1A"/>
          <w:sz w:val="22"/>
          <w:szCs w:val="22"/>
        </w:rPr>
        <w:t xml:space="preserve">Оптимальный выбор — AMD Instinct MI300X в серверном исполнении. Это решение: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не накладывает компромиссов по видеопамяти (192 ГБ в одной карте),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официально поддерживается производителем на 3–5 лет вперёд,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работает со всеми заявленными моделями кроме GLM-5.1,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масштабируется добавлением второй карты до 384 ГБ — тогда GLM-5.1 становится доступна в квантизации INT4,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обеспечивает плавную работу трёх разработчиков с запасом на рост до 15 человек,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поддерживает весь стек vLLM / SGLang через официальные контейнеры AMD.</w:t>
      </w:r>
    </w:p>
    <w:p>
      <w:pPr>
        <w:spacing w:after="100"/>
        <w:jc w:val="both"/>
      </w:pPr>
      <w:r>
        <w:rPr>
          <w:color w:val="1A1A1A"/>
          <w:sz w:val="22"/>
          <w:szCs w:val="22"/>
        </w:rPr>
        <w:t xml:space="preserve"/>
      </w:r>
    </w:p>
    <w:p>
      <w:pPr>
        <w:spacing w:after="100"/>
        <w:jc w:val="both"/>
      </w:pPr>
      <w:r>
        <w:rPr>
          <w:color w:val="1A1A1A"/>
          <w:sz w:val="22"/>
          <w:szCs w:val="22"/>
        </w:rPr>
        <w:t xml:space="preserve">Если формат серверного рэка не подходит по инфраструктурным причинам — замена на 4 × NVIDIA RTX 4090 в рабочей станции Threadripper Pro покрывает 80 % задач при форм-факторе «большой компьютер под столом».</w:t>
      </w:r>
    </w:p>
    <w:p>
      <w:pPr>
        <w:spacing w:after="100"/>
        <w:jc w:val="both"/>
      </w:pPr>
      <w:r>
        <w:rPr>
          <w:color w:val="1A1A1A"/>
          <w:sz w:val="22"/>
          <w:szCs w:val="22"/>
        </w:rPr>
        <w:t xml:space="preserve">Технические обоснования, бенчмарки, подробные конфигурации, разбор гибридных сценариев и сценарий многокарточной работы на 4 × RTX 5060 Ti приведены в документе-спутнике «Техническое обоснование».</w:t>
      </w:r>
    </w:p>
    <w:sectPr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8"/>
        <w:szCs w:val="18"/>
      </w:rPr>
      <w:t xml:space="preserve">Страница </w:t>
    </w:r>
    <w:r>
      <w:rPr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55555"/>
        <w:sz w:val="18"/>
        <w:szCs w:val="18"/>
      </w:rPr>
      <w:t xml:space="preserve"> из </w:t>
    </w:r>
    <w:r>
      <w:rPr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7278aca41670200a1ff0cf499656403eb30e484.png"/><Relationship Id="rId9" Type="http://schemas.openxmlformats.org/officeDocument/2006/relationships/image" Target="media/e4f8f6d340930c7645044a405bbe13fc6ee83d4b.png"/><Relationship Id="rId10" Type="http://schemas.openxmlformats.org/officeDocument/2006/relationships/image" Target="media/cfaa7e4a1a9c07e20a2f3729ef21baf64d4546f1.png"/><Relationship Id="rId11" Type="http://schemas.openxmlformats.org/officeDocument/2006/relationships/image" Target="media/27dfc082075cb897915bf05d11497251ecc71986.png"/><Relationship Id="rId12" Type="http://schemas.openxmlformats.org/officeDocument/2006/relationships/image" Target="media/f75077feccbbdd3add84812d1a069f0f3e6c24d4.png"/><Relationship Id="rId13" Type="http://schemas.openxmlformats.org/officeDocument/2006/relationships/image" Target="media/13cfcd2940c0d9d9b3ce181a74a747b702e310ef.png"/><Relationship Id="rId14" Type="http://schemas.openxmlformats.org/officeDocument/2006/relationships/image" Target="media/1431cdbef53fbf9d040ca676f5f2771c6dcd0cae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LLM Hardware Executive Summary — 2026-04-22</dc:title>
  <dc:creator>DSP-GPU R&amp;D</dc:creator>
  <cp:lastModifiedBy>Un-named</cp:lastModifiedBy>
  <cp:revision>1</cp:revision>
  <dcterms:created xsi:type="dcterms:W3CDTF">2026-04-22T20:46:20.634Z</dcterms:created>
  <dcterms:modified xsi:type="dcterms:W3CDTF">2026-04-22T20:46:20.634Z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