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b/>
          <w:bCs/>
          <w:color w:val="1F4E79"/>
          <w:sz w:val="48"/>
          <w:szCs w:val="48"/>
        </w:rPr>
        <w:t xml:space="preserve">Выбор оборудования для локального LLM-сервера</w:t>
      </w:r>
    </w:p>
    <w:p>
      <w:pPr>
        <w:spacing w:after="240"/>
        <w:jc w:val="center"/>
      </w:pPr>
      <w:r>
        <w:rPr>
          <w:color w:val="2E75B6"/>
          <w:sz w:val="28"/>
          <w:szCs w:val="28"/>
        </w:rPr>
        <w:t xml:space="preserve">Техническое обоснование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22 апреля 2026 г.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Автор: Отдел НИОКР</w:t>
      </w:r>
    </w:p>
    <w:p>
      <w:pPr>
        <w:spacing w:after="80"/>
        <w:jc w:val="center"/>
      </w:pPr>
      <w:r>
        <w:rPr>
          <w:color w:val="555555"/>
          <w:sz w:val="22"/>
          <w:szCs w:val="22"/>
        </w:rPr>
        <w:t xml:space="preserve">Аудитория: руководство, IT-администраторы, архитекторы</w:t>
      </w:r>
    </w:p>
    <w:p>
      <w:pPr>
        <w:spacing w:after="480"/>
        <w:jc w:val="center"/>
      </w:pPr>
      <w:r>
        <w:rPr>
          <w:color w:val="555555"/>
          <w:sz w:val="22"/>
          <w:szCs w:val="22"/>
        </w:rPr>
        <w:t xml:space="preserve">Версия 2.0</w:t>
      </w:r>
    </w:p>
    <w:p>
      <w:r>
        <w:br w:type="page"/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1. Задача и ограничения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1.1. Постановка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Подобрать аппаратную конфигурацию сервера, способного: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размещать в памяти GPU модели qwen3.6-35B-A3B, gpt-oss-20b, glm-5.1, deepseek-r1:14b-qwen-distill, qwen2.5-coder:14b;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обеспечивать параллельную работу не менее трёх пользователей через программных агентов;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предоставлять ресурсы для периодического дообучения моделей 7–14 B методом LoRA или QLoRA.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1.2. Ограничения окружения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Рабочая среда — Linux. Серверные реализации vLLM, SGLang, TensorRT-LLM работают преимущественно под Linux.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Сервер размещается в корпоративной серверной или в виде рабочей станции.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Рост нагрузки в течение 1–2 лет — до 5–10 пользователей.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1.3. Что не рассматривается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Стоимость оборудования.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Обучение моделей с нуля.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Полное дообучение моделей свыше 14 B.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2. Модели, заявленные к тестированию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1_model_vram.png" descr="Требования видеопамяти по моделям" title="Требования видеопамяти по модел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Требования видеопамяти по моделям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2.1. Сводная таблица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900"/>
        <w:gridCol w:w="900"/>
        <w:gridCol w:w="1200"/>
        <w:gridCol w:w="17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Архитектура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Всего, B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Активн., B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Файл (Q4)</w:t>
            </w:r>
          </w:p>
        </w:tc>
        <w:tc>
          <w:tcPr>
            <w:tcW w:type="dxa" w:w="1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VRAM, ГБ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qwen2.5-coder:14b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Dense Transformer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~8.9 ГБ</w:t>
            </w:r>
          </w:p>
        </w:tc>
        <w:tc>
          <w:tcPr>
            <w:tcW w:type="dxa" w:w="1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10–12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deepseek-r1:14b-qwen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Dense (дистилляция R1)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~9 ГБ</w:t>
            </w:r>
          </w:p>
        </w:tc>
        <w:tc>
          <w:tcPr>
            <w:tcW w:type="dxa" w:w="1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12–14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gpt-oss-20b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MoE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3.6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~13 ГБ</w:t>
            </w:r>
          </w:p>
        </w:tc>
        <w:tc>
          <w:tcPr>
            <w:tcW w:type="dxa" w:w="1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15–16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qwen3.6-35B-A3B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MoE (Gated Delta Net)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35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~21 ГБ</w:t>
            </w:r>
          </w:p>
        </w:tc>
        <w:tc>
          <w:tcPr>
            <w:tcW w:type="dxa" w:w="1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23–26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62828"/>
                <w:sz w:val="20"/>
                <w:szCs w:val="20"/>
              </w:rPr>
              <w:t xml:space="preserve">glm-5.1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MoE (Z.ai)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754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C62828"/>
                <w:sz w:val="20"/>
                <w:szCs w:val="20"/>
              </w:rPr>
              <w:t xml:space="preserve">~380 ГБ INT4</w:t>
            </w:r>
          </w:p>
        </w:tc>
        <w:tc>
          <w:tcPr>
            <w:tcW w:type="dxa" w:w="1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C62828"/>
                <w:sz w:val="20"/>
                <w:szCs w:val="20"/>
              </w:rPr>
              <w:t xml:space="preserve">требует 8× H100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2.2. Комментарии по моделям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Qwen3.6-35B-A3B.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Выпущена 16 апреля 2026 г. Apache 2.0. Скорость инференса сопоставима с плотными моделями 7 B за счёт MoE-архитектуры (активны только 3 B параметров). Требует ~21 ГБ VRAM в Q4-квантизации.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GPT-OSS-20B.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OpenAI, август 2025. Нативная MXFP4-квантизация (4.25 бита на параметр) — заложена разработчиком, а не применена пост-фактум. Помещается в 16 ГБ VRAM потребительских карт.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GLM-5.1.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Z.ai (бывш. Zhipu), открытая версия от 7 апреля 2026 г. Сопоставима с GPT-5.4 и Claude по кодингу. Однако 754 B параметров делают её непригодной для локальной рабочей станции. Требует кластер серверного класса (8 × H200 либо 4–8 × MI300X).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DeepSeek-R1-14B-Qwen-Distill.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Дистиллированная версия большой DeepSeek-R1 (671 B) через Qwen2.5-14B. Поддерживает tool calling. Работает как обычная 14 B модель, но генерирует «цепочку рассуждений» — то есть выдаёт вдвое-втрое больше токенов на запрос.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Qwen2.5-Coder-14B.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Классическая плотная модель, специализированная под кодогенерацию.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3. Почему при нагрузке от нескольких пользователей возникает торможение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3.1. Как работает LLM при одиночном запросе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Один запрос — это цикл «прочитать текст, сгенерировать следующий токен, прочитать снова, сгенерировать ещё». Для 500-токенного ответа GPU выполняет 500 проходов через миллиарды весов модели.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Ключевые понятия: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Prefill (загрузка). Первая фаза — модель читает весь присланный текст. Время пропорционально длине запроса.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Decode (декодирование). Последовательная генерация токенов. Время ограничено пропускной способностью памяти GPU. Поэтому важна скорость памяти (HBM3 у серверных карт, GDDR7 у потребительских).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KV-cache. Промежуточная память внимания. Растёт линейно с длиной контекста. Для контекста 32 000 токенов на модели 14 B — около 1–2 ГБ на один запрос.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3.2. Агентская нагрузка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Три пользователя через AI-агента порождают не три запроса, а шторм из 30–150. Одна команда «найди и исправь ошибку» = 20–50 обращений к модели.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3.3. Простые серверы (Ollama) — очередь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Классические простые серверы обрабатывают запросы последовательно. Настройка OLLAMA_NUM_PARALLEL позволяет некоторую параллельность, но: модель копируется в VRAM N раз; на одном GPU конкурируют несколько экземпляров за память; начиная с 4–5 параллельных запросов появляется эффект «head-of-line blocking» — медленный запрос блокирует всю партию.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3.4. Правильный подход: continuous batching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Серверные реализации (vLLM, SGLang, TensorRT-LLM) объединяют разные запросы в одну общую матрицу и одновременно генерируют для них следующий токен.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7_batching_scheme.png" descr="Ollama (последовательная обработка) против vLLM (continuous batching)" title="Ollama (последовательная обработка) против vLLM (continuous batch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Ollama (последовательная обработка) против vLLM (continuous batching)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Технологии, обеспечивающие continuous batching: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PagedAttention — KV-кеш разбит на страницы, память не фрагментируется.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Continuous batching — запросы вливаются в партию не дожидаясь окончания предыдущей.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Chunked prefill — длинные prefill-фазы нарезаются, чтобы не блокировать decode коротких запросов.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3.5. Численные различия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4_latency_ollama_vs_vllm.png" descr="Задержка p99 под нагрузкой: Ollama vs vLLM" title="Задержка p99 под нагрузкой: Ollama vs vLL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Задержка p99 под нагрузкой: Ollama vs vLLM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На GPT-OSS-120B, 2 × H100: vLLM при 100 одновременных запросах даёт 4741 токенов/сек, лучший TTFT на всех уровнях концуррентности.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На среднем стенде (1 × RTX 4090), 14 B модель: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Ollama, 1 пользователь: 70–90 токенов/сек.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Ollama, 10 параллельных запросов: среднее 8–15 токенов/сек на пользователя, p99 &gt; 20 с.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vLLM, 10 параллельных запросов: 60–80 токенов/сек на пользователя, p99 1–3 с.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Вывод. При переходе от одного пользователя к трём с агентами нельзя оставаться на Ollama. Серверная программа (vLLM) не просто ускоряет — она делает нагрузку принципиально переносимой.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4. Программные платформы-серверы LLM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4.1. Сравнительная таблица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500"/>
        <w:gridCol w:w="1400"/>
        <w:gridCol w:w="2660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Платформа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Continuous batching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AMD ROCm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≥ 10 польз.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Сложность установки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Ollama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Ограниченно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Очень низкая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LM Studio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Очень низкая (GUI)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llama.cpp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Частично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Ограниченно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Средняя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vLLM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 (ROCm 7)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 (100+)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Средняя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SGLang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 (ROCm 7)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 (100+)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Средняя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TensorRT-LLM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Высокая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4.2. Рекомендация: vLLM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Полноценный continuous batching.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Нативная поддержка ROCm 7 (официальные Docker-образы AMD для MI300X, MI325X, MI350, MI355X).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Поддерживает MXFP4-квантизацию gpt-oss-20b, AWQ, GPTQ, FP8.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OpenAI-совместимый API — агенты не требуют специальной адаптации.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Активное сообщество, ежемесячные релизы.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5. Топология серверной части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6_architecture.png" descr="Топология: 3 пользователя через AI-агентов, LLM-сервер, GPU" title="Топология: 3 пользователя через AI-агентов, LLM-сервер, G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Топология: 3 пользователя через AI-агентов, LLM-сервер, GPU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Компоненты: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Пользователи с AI-агентами — клиенты (IDE-плагины, CLI, web).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vLLM / SGLang — серверная программа, принимает HTTP-запросы по OpenAI-совместимому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Continuous batching — объединяет запросы в батчи на лету.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PagedAttention — эффективно использует VRAM, разбивая KV-кеш на страницы.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GPU — модель в VRAM, KV-кеши для всех активных пользователей.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Disk cache HSACO — скомпилированные GPU-ядра (через KernelCacheService v2).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Модели — NVMe-диск с исходными файлами в формате Hugging Face.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6. Расчёт видеопамяти под рабочую нагрузку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6.1. Формула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VRAM_total = VRAM_weights + VRAM_kv_cache × N_users + VRAM_activation + VRAM_overhead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VRAM_weights — размер весов после квантизации.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VRAM_kv_cache — память на один активный контекст.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N_users — число одновременных контекстов.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VRAM_activation — временные буферы (~1–2 ГБ для 14–35 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VRAM_overhead — память драйвера, CUDA context, vLLM structures (~1–3 ГБ).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6.2. KV-cache по моделям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800"/>
        <w:gridCol w:w="1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Слоёв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Hidden dim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KV на 1 токен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KV на 32К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qwen2.5-coder:14b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48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5120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~200 КБ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~6.5 ГБ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deepseek-r1:14b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48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5120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~200 КБ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~6.5 ГБ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gpt-oss-20b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2880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~40 КБ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~1.3 ГБ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qwen3.6-35B-A3B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4096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~180 КБ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~5.8 ГБ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preserve"/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С FP8/INT8 KV-кешем (vLLM поддерживает) память сокращается вдвое-вчетверо.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6.3. Практические сценарии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Сценарий «3 пользователя, 32К контекста, qwen3.6-35B-A3B, Q4»: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tblHeader/>
        </w:trPr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4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Размер</w:t>
            </w:r>
          </w:p>
        </w:tc>
      </w:tr>
      <w:tr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Веса модели (Q4_K_M)</w:t>
            </w:r>
          </w:p>
        </w:tc>
        <w:tc>
          <w:tcPr>
            <w:tcW w:type="dxa" w:w="4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21 ГБ</w:t>
            </w:r>
          </w:p>
        </w:tc>
      </w:tr>
      <w:tr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KV-кеш × 3 × 32К (FP8)</w:t>
            </w:r>
          </w:p>
        </w:tc>
        <w:tc>
          <w:tcPr>
            <w:tcW w:type="dxa" w:w="4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~9 ГБ</w:t>
            </w:r>
          </w:p>
        </w:tc>
      </w:tr>
      <w:tr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Буферы активации</w:t>
            </w:r>
          </w:p>
        </w:tc>
        <w:tc>
          <w:tcPr>
            <w:tcW w:type="dxa" w:w="4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ГБ</w:t>
            </w:r>
          </w:p>
        </w:tc>
      </w:tr>
      <w:tr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Overhead vLLM + CUDA/ROCm</w:t>
            </w:r>
          </w:p>
        </w:tc>
        <w:tc>
          <w:tcPr>
            <w:tcW w:type="dxa" w:w="4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 ГБ</w:t>
            </w:r>
          </w:p>
        </w:tc>
      </w:tr>
      <w:tr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Итого</w:t>
            </w:r>
          </w:p>
        </w:tc>
        <w:tc>
          <w:tcPr>
            <w:tcW w:type="dxa" w:w="4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~35 ГБ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RTX 4090 (24 ГБ) — не хватает.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RTX 5090 (32 ГБ) — впритык, работает при сокращении контекста или FP8 KV.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2 × RTX 5090 (64 ГБ) — с комфортным запасом.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MI300X (192 ГБ) — запас в 5 раз.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7. Анализ предложенных GPU по группам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7.1. Все варианты конфигураций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3_all_configs_vram.png" descr="Все возможные конфигурации: суммарная VRAM" title="Все возможные конфигурации: суммарная V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Все возможные конфигурации: суммарная VRAM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7.2. RTX 5060 Ti (16 ГБ) — слабые потребительские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Архитектура: Blackwell GB206, GDDR7, 448 ГБ/с. Бюджетная карта текущего поколения.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Одиночная карта.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Минимальная для single-user экспериментов. После модели 14 B (12 ГБ) остаётся 4 ГБ на KV-кеши. 3 одновременных контекста по 16К токенов требуют по 1.5–2 ГБ — память кончается.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Две карты (32 ГБ).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Работают с 14 B моделями через tensor parallelism, но копирование одного слоя на две карты стоит ~30 % без NVLink. 20 B впритык, 35 B — нет.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Четыре карты (64 ГБ).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Теоретически хватает на qwen3.6-35B-A3B и серверную нагрузку. Ограничения: на consumer-материнских платах нет 4 × PCIe 5.0 x16 одновременно (делится как x8/x8/x8/x8); TP на 4 картах без NVLink — падение 25–40 % против одиночной 64 ГБ карты; требует Threadripper Pro, двойной БП, спец. корпус.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Вердикт.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Для серверной нагрузки не рекомендуется. Подходит как бюджетный вариант для персональной dev-станции с 1 пользователем.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7.3. RTX 5080 (16 ГБ) — слабые потребительские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Архитектура: Blackwell GB203, GDDR7, 960 ГБ/с (вдвое быстрее 5060 Ti).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Профиль по количеству карт идентичен 5060 Ti — те же 16 ГБ на карту. Более высокая пропускная способность памяти даёт ~30 % прирост на одном пользователе, но потолок «16 ГБ на одну модель» остаётся.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Вердикт.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Те же ограничения, что у 5060 Ti. Не рекомендуется для серверной нагрузки.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7.4. Глубокий разбор: 4 × RTX 5060 Ti или 4 × RTX 5080 (64 ГБ суммарно)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Этот сценарий заслуживает отдельного разбора, так как выглядит привлекательно — четыре небольшие карты дают 64 ГБ суммарной видеопамяти.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работает: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14 B моделей (qwen2.5-coder, deepseek-r1:14b) — комфортно. Модель помещается на одну карту, остальные 3 держат KV-кеши через pipeline parallelism.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gpt-oss-20b (MoE, MXFP4) — модель на одну карту, остальные на expert parallelism. Отлично ложится на MoE.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qwen3.6-35B-A3B — модель занимает две карты через tensor parallelism (по 10.5 ГБ на каждой), остальные две — KV-кеши. Работает при ограничении контекста 16К.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QLoRA над 7 B моделью — одна карта, 8 ГБ, без проблем.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Что не работает или с оговорками: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70 B — нужно минимум 48 ГБ на веса, 64 ГБ впритык; TP на 4 картах без NVLink режет производительность.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Инференс GLM-5.1 — физически невозможно (нужно 380 ГБ).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LoRA над 14 B — нужно 45 ГБ; не помещается на одну карту, 4-карт tensor parallel для обучения добавляет 2x overhead.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QLoRA над 35 B — нужно 32 ГБ; одна карта мала, распределение между двумя возможно но сложно.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Full fine-tuning — невозможно ни в каком варианте.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Проблемы связности: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У этих карт нет NVLink. Для tensor parallelism используется PCIe — на порядок медленнее.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Пропускная способность PCIe 5.0 x16 = 64 ГБ/с. NVLink 4.0 = 900 ГБ/с.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TP «в лоб» на PCIe теряет 15–30 % при двух картах, 25–40 % при четырёх.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Инфраструктурные сложности: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Материнская плата с четырьмя PCIe 5.0 x16: только WRX90 / TRX50 на Threadripper Pro.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БП: 4 × 300 Вт (5060 Ti) + 350 Вт CPU + обвязка = 1600–1800 Вт. Для 5080 — 4 × 360 Вт = 2000 Вт. Нужны два БП.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Корпус: full-tower (Fractal Define 7 XL) или готовая сборка (Bizon, Exxact).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Охлаждение: 8+ вентиляторов с учётом четырёх выдувающих потоков.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Сравнение с альтернативами на ту же суммарную VRAM: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2200"/>
        <w:gridCol w:w="1800"/>
        <w:gridCol w:w="20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Конфигурация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VRAM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Реальная прод.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Сложность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RTX 5060 Ti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Базовая (PCIe bottleneck)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Бюджетный серверный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RTX 5080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На 30 % выше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Средний серверный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RTX 5090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На 80 % выше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Лучший потребительский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 × AMD MI210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На 20 % выше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0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62828"/>
                <w:sz w:val="20"/>
                <w:szCs w:val="20"/>
              </w:rPr>
              <w:t xml:space="preserve">Не рек. (поддержка)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preserve"/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Двух RTX 5090 (32 × 2 = 64 ГБ) достаточно для того же результата при вдвое меньшем количестве карт, без проблем с PCIe-связностью и в более простой сборке.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7.5. RTX 4090 (24 ГБ) — средние потребительские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Архитектура: Ada Lovelace AD102, GDDR6X, 1008 ГБ/с. Выпуск 2022, производство завершено в 2025.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Одиночная карта — 24 ГБ хватает на все модели до 35 B в Q4. Для 3 пользователей впритык, комфортно для 1–2.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Две карты (48 ГБ) — 2–3 пользователя на 35 B, 3–5 на 14 B. 70 B требует TP и Q4.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Три карты (72 ГБ) — редкая конфигурация. Многие материнские платы не дают трёх полноценных x16 слотов.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Четыре карты (96 ГБ) — классическая «AI-workstation»: 3–5 пользователей, все модели кроме GLM-5.1.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PCIe-ограничения: RTX 4090 не имеет NVLink (убран в 40-й серии). Все коммуникации через PCIe 5.0.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Закупка: RTX 4090 снята с производства. В 2026 г. — остатки на складах. При заказе 4 одинаковых карт возможны задержки поставки.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7.6. RTX 5090 (32 ГБ) — средние потребительские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Архитектура: Blackwell GB202, GDDR7, 1792 ГБ/с. Флагман потребительской серии 2025 года.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Одиночная карта — 32 ГБ на все модели до 35 B с запасом. 3–5 пользователей на 14 B, 2–3 на 35 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Две карты (64 ГБ) — лучший потребительский вариант. Суммарно меньше 4 × RTX 4090 (64 vs 96), но меньше карт даёт меньше PCIe-коммуникаций, проще сборку (один БП 1500 Вт), свежий Blackwell с FP8.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Бенчмарки: 2 × RTX 5090 на Llama 70B в Q4 — ~27 токенов/сек, сопоставимо с 1 × H100.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7.7. AMD MI210 (64 ГБ) — устаревшие серверные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Архитектура: CDNA 2, HBM2e, 1638 ГБ/с. Выпущена 2021.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Ключевая проблема: prebuilt Docker-контейнеры AMD в серии ROCm 7.0 исключают MI210. Основной поток поддержки — MI300/MI325/MI350/MI355.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Вердикт: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Не рекомендуется. Риск остаться без актуального программного стека через 12–18 месяцев.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7.8. AMD MI250 — устаревшие серверные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Архитектура: CDNA 2, 128 ГБ HBM2e (2 × 64 ГБ в одной карте OAM), 3276 ГБ/с на чип.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Особенность: двухчиповая архитектура. Для ПО это «два GPU в одной карте». Требует спец. настройки inter-chip коммуникации (xGMI). Современные prebuilt решения AMD оптимизированы под MI300.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Вердикт: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Не рекомендуется. Те же факторы, что у MI210.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7.9. AMD MI300X (192 ГБ HBM3) — актуальные серверные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Архитектура: CDNA 3, 192 ГБ HBM3, 5.3 ТБ/с. Массово доступна с 2024.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Память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192 ГБ HBM3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Bandwidth памяти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5.3 ТБ/с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FP16 производительность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1307 TFLOPS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BF16 производительность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1307 TFLOPS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FP8 производительность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2614 TFLOPS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TDP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750 Вт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1 × MI300X — 3 пользователя с огромным запасом, до 25–30 пользователей.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2 × MI300X (в OAM-шасси) — 384 ГБ суммарно, поднимает GLM-5.1 в AWQ INT4 и 70 B в FP16.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7.10. AMD MI350 — флагманские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Архитектура: CDNA 4, HBM3e, до 288 ГБ. Выпуск середина 2025.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Преимущества: нативный MXFP4 / FP4; +80 % FP8 производительности против MI300X.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Вердикт: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Избыточно для задачи «3 пользователя, модели до 35 B». Оправдано при планах на 50+ пользователей или работе с моделями 100 B+.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8. Multi-GPU: три типа параллелизма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8_parallelism_types.png" descr="Tensor vs Pipeline vs Expert parallelism" title="Tensor vs Pipeline vs Expert paralleli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Tensor vs Pipeline vs Expert parallelism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При использовании нескольких GPU существует три способа разделения работы.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8.1. Tensor Parallelism (TP)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Каждый слой модели разбивается на несколько частей. Все GPU одновременно обрабатывают один запрос, выполняя свою часть вычислений, затем синхронизируются через операцию all-reduce.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Плюсы: самый быстрый при достаточной пропускной способности связи.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Минусы: требует быстрой связи (NVLink, InfinityFabric). На PCIe — потери 15–30 %.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Когда: серверные карты с NVLink. Не применять на 4 × RTX 4090 без NVLink.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8.2. Pipeline Parallelism (PP)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Модель делится по слоям: первые N слоёв на GPU 1, следующие N — на GPU 2 и т.д. Данные текут через GPU как через конвейер.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Плюсы: простая коммуникация (только между соседними GPU). Хорошо работает на PCIe.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Минусы: пока работает GPU 2, GPU 1 простаивает. Нужен большой batch, чтобы все были нагружены.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Когда: потребительские карты на PCIe, большой batch size.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8.3. Expert Parallelism (EP) — для MoE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Подходит только для MoE-моделей (gpt-oss, qwen3.6, glm-5.1). Разные «эксперты» размещаются на разных GPU. Router направляет запрос к нужному эксперту.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Плюсы: хорошо масштабируется, не требует all-reduce.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Минусы: балансировка нагрузки зависит от распределения запросов.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Когда: для MoE-моделей как замена tensor parallelism.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8.4. Выбор по железу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Железо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Рекомендуемый parallelism</w:t>
            </w:r>
          </w:p>
        </w:tc>
      </w:tr>
      <w:tr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 GPU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 применяется</w:t>
            </w:r>
          </w:p>
        </w:tc>
      </w:tr>
      <w:tr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2–4 × RTX (PCIe, нет NVLink)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Pipeline (dense) / Expert (MoE)</w:t>
            </w:r>
          </w:p>
        </w:tc>
      </w:tr>
      <w:tr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2–8 × MI300X (InfinityFabric)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Tensor Parallelism</w:t>
            </w:r>
          </w:p>
        </w:tc>
      </w:tr>
      <w:tr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RTX 5090 с NVLink (если есть)</w:t>
            </w:r>
          </w:p>
        </w:tc>
        <w:tc>
          <w:tcPr>
            <w:tcW w:type="dxa" w:w="4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Tensor Parallelism</w:t>
            </w:r>
          </w:p>
        </w:tc>
      </w:tr>
    </w:tbl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9. Операционная система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9.1. Совместимость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400"/>
        <w:gridCol w:w="18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ОС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NVIDIA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ROCm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Серверная зрелость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Рекомендация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Полная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Полная (7.0)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Основной выбор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22.04 LTS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Полная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Полная (7.0)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Резервный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RHEL 9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Полная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Полная (7.0)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Очень высокая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При стандарт. на Red Hat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Debian 12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Полная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Частичная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Только для опытных админов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Windows 11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CUDA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Нет серверной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62828"/>
                <w:sz w:val="20"/>
                <w:szCs w:val="20"/>
              </w:rPr>
              <w:t xml:space="preserve">Не рекомендуется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9.2. Требования к ядру и пакетам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NVIDIA RTX 50-й серии: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CUDA Toolkit ≥ 12.6, драйвер ≥ 560, ядро Linux ≥ 6.6.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AMD MI300X / MI350: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Ядро Linux ≥ 6.8 (MI350 ≥ 6.10), amdgpu-dkms ≥ 6.10.5, glibc ≥ 2.35.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Ubuntu 24.04 удовлетворяет из коробки. Ubuntu 22.04 требует HWE-ядра.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9.3. Контейнеризация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AMD: официальный образ rocm/vllm:rocm7.0_vllm_mi300x.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NVIDIA: nvcr.io/nvidia/pytorch:25.01-py3 + vllm.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Контейнер изолирует версии CUDA/ROCm от системы.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Обновление vLLM = подмена тега контейнера.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10. Дообучение: LoRA и QLoRA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5_lora_vs_qlora.png" descr="Требования памяти: инференс vs LoRA vs QLoRA" title="Требования памяти: инференс vs LoRA vs QL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Требования памяти: инференс vs LoRA vs QLoRA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10.1. Суть технологий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LoRA (Low-Rank Adaptation).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Добавляет к модели «адаптер» (0.1–5 % от размера). Исходная модель остаётся в памяти в полной точности; адаптер обучается.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default">QLoRA. 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То же самое, но базовая модель хранится в квантизованном виде (4-бит). Экономит 2–4 раза памяти.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10.2. Практические требования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Для заявленной задачи (периодическое QLoRA над 7–14 B моделями) достаточно: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RTX 4090 (24 ГБ) — покрывает с запасом.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RTX 5090 (32 ГБ) — ещё комфортнее.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MI300X (192 ГБ) — огромный запас, возможно QLoRA на 35–70 B.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10.3. Фреймворки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Unsloth — самый быстрый (2–5x против стандартного), поддержка AMD ROCm.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Axolotl — классический YAML-конфигурируемый.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TRL (Hugging Face) — базовый, работает везде.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PEFT (Hugging Face) — низкоуровневая библиотека-обёртка.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11. Сценарий роста нагрузки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10_growth_scenario.png" descr="Прогноз роста пользователей за 2 года" title="Прогноз роста пользователей за 2 г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Прогноз роста пользователей за 2 года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Время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Пользователей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Причина роста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Старт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Начальная команда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6 мес.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Подключение тестировщиков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12 мес.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Расширение команды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18 мес.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Фоновые процессы: review-агенты, тесты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24 мес.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15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Интеграция с корпоративными инструментами</w:t>
            </w:r>
          </w:p>
        </w:tc>
      </w:tr>
    </w:tbl>
    <w:p>
      <w:pPr>
        <w:spacing w:after="100"/>
        <w:jc w:val="both"/>
      </w:pPr>
      <w:r>
        <w:rPr>
          <w:color w:val="1A1A1A"/>
          <w:sz w:val="22"/>
          <w:szCs w:val="22"/>
        </w:rPr>
        <w:t xml:space="preserve"/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Потолки конфигураций: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1 × RTX 4090 / 5090: до 5–6 пользователей (хватит на 3–6 месяцев).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4 × RTX 4090 / 2 × RTX 5090: до 12–14 (хватит на 18–24 месяца).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1 × MI300X: до 25–30 (хватит на 3+ года).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12. Рекомендуемые конфигурации серверов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12.1. Heatmap: пользователи на конфигурацию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933700"/>
            <wp:effectExtent t="0" r="0" b="0" l="0"/>
            <wp:docPr id="1" name="09_users_capacity_heatmap.png" descr="Сколько пользователей держит каждая конфигурация" title="Сколько пользователей держит каждая конфигура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color w:val="555555"/>
          <w:sz w:val="20"/>
          <w:szCs w:val="20"/>
        </w:rPr>
        <w:t xml:space="preserve">Сколько пользователей держит каждая конфигурация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12.2. Вариант A: рабочая станция NVIDIA (4× RTX 4090 или 2× RTX 5090)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Характеристика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AMD Threadripper Pro 7965WX (24 ядра, 128 PCIe 5.0 lanes)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ОЗУ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256 ГБ DDR5 ECC RDIMM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Материнская плата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ASUS WRX90 (7 × PCIe 5.0 x16)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Системный диск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2 ТБ Samsung 990 Pro (RAID 1)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Диск моделей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4 ТБ WD Black SN850X (RAID 10, 8 ТБ полезно)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Сеть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10 GbE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Блок питания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Corsair AX1600i (суммарно 3200 Вт)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Корпус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Fractal Design Define 7 XL или готовая сборка Bizon / Exxact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Охлаждение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Воздушное, 8+ вентиляторов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ОС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Драйвер/CUDA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NVIDIA 560.xx + CUDA 12.6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Контейнер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nvcr.io/nvidia/pytorch:25.01-py3 + vLLM 0.9+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12.3. Вариант B: серверное решение AMD Instinct (1× MI300X)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Характеристика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Платформа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Dell PowerEdge XE9680 / Supermicro AS-8125GS-TNMR2 / HPE Cray XD675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AMD EPYC 9354 (32 ядра × 2)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ОЗУ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512 ГБ DDR5 ECC RDIMM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Системный диск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3.84 ТБ Samsung PM9A3 (RAID 1)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Диск моделей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7.68 ТБ Samsung PM9A3 (RAID 10, 15.36 ТБ полезно)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Сеть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2 × Mellanox ConnectX-6 25 GbE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Блок питания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 × 2000 Вт 80+ Platinum (N+N)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Корпус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4U rack-mount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Охлаждение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Серверное стоечное, холодный коридор ≤ 22 °C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ОС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Ubuntu 24.04 LTS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Драйвер/ROCm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amdgpu-dkms + ROCm 7.0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Контейнер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rocm/vllm:rocm7.0_vllm_0.9.x_mi300x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12.4. Сводное сравнение вариантов A и 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Вариант A (4× RTX 4090)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Вариант B (1× MI300X)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Суммарная VRAM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96 ГБ GDDR6X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192 ГБ HBM3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Bandwidth памяти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4032 ГБ/с (суммарно)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5300 ГБ/с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Модели до 35B (MoE)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Да, с запасом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Да, с большим запасом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Модели 70B в Q4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Да, TP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Да, одна карта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GLM-5.1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Невозможно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Только при 2 картах, INT4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 пользователя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Комфортно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Очень комфортно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10 пользователей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Ограниченно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Комфортно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Форм-фактор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Рабочая станция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Серверный рэк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Срок поддержки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3–4 года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4–5 лет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Расширение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Замена карт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7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Добавление 2-й MI300X</w:t>
            </w:r>
          </w:p>
        </w:tc>
      </w:tr>
    </w:tbl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13. Гибридные сценарии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13.1. Inference-сервер + dev-станция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Серверный узел: 1 × MI300X для production-инференса.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Dev-станция: 1 × RTX 5090 для экспериментов, debugging, QLoRA.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Плюсы: разделение production/research. Минусы: две машины, две ОС-конфигурации.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13.2. Разделение по задачам на 4 × RTX 4090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Карты 1–2: vLLM + qwen3.6-35B-A3B для 3 пользователей (48 ГБ).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Карты 3–4: отдельный vLLM с qwen2.5-coder:14b или QLoRA-обучение (24 ГБ).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Плюсы: одновременная работа с двумя моделями, дообучение без остановки production. Минусы: сложнее оркестрация, нужен L7-балансировщик.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13.3. Inference + QLoRA одновременно на MI300X</w:t>
      </w:r>
    </w:p>
    <w:p>
      <w:pPr>
        <w:spacing w:after="100"/>
        <w:jc w:val="both"/>
      </w:pPr>
      <w:r>
        <w:rPr>
          <w:color w:val="1A1A1A"/>
          <w:sz w:val="22"/>
          <w:szCs w:val="22"/>
        </w:rPr>
        <w:t xml:space="preserve">192 ГБ MI300X позволяют: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vLLM с qwen3.6-35B-A3B (~45 ГБ с 5 контекстами).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QLoRA над deepseek-r1:14b (~16 ГБ).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Резерв ~130 ГБ для роста или второго вида работы.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14. Глоссарий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BF16 / bfloat16 — 16-битный формат с плавающей точкой для нейросетей.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Continuous batching — технология группировки запросов в один GPU-проход.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CUDA — программная платформа NVIDIA для вычислений на GPU.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FP8 — 8-битный формат с плавающей точкой, даёт 2× ускорение против FP16.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GDDR7 — память потребительских видеокарт поколения 2024–2026.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HBM3 / HBM3e — память серверных GPU, в 4–5 раз быстрее GDDR.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KV-cache — промежуточный кеш внимания трансформера.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LoRA — Low-Rank Adaptation, дообучение через малые матрицы-адаптеры.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MoE — Mixture of Experts, архитектура с активной подмножеством.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MXFP4 — 4.25-битный формат OpenAI для нативной квантизации.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NVLink — быстрое межкарточное соединение NVIDIA (H100/B200). Отсутствует на RTX.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PagedAttention — разбиение KV-кеша на страницы.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Prefill — фаза обработки исходного контекста.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QLoRA — Quantized LoRA, дообучение с квантизованной базой.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Q4_K_M — 4-битная квантизация GGUF/llama.cpp.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ROCm — программная платформа AMD для вычислений на GPU.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SGLang — альтернативный vLLM сервер от команды Беркли.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Tensor parallelism — разбиение модели между GPU вдоль тензорной оси.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Pipeline parallelism — разбиение модели по слоям между GPU.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Expert parallelism — разбиение MoE-экспертов между GPU.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TPOT — Time Per Output Token.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TTFT — Time To First Token.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vLLM — серверная программа для LLM-инференса с continuous batching.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xGMI — межчиповое соединение AMD.</w:t>
      </w:r>
    </w:p>
    <w:p>
      <w:pPr>
        <w:pStyle w:val="Heading1"/>
        <w:spacing w:after="180" w:before="320"/>
      </w:pPr>
      <w:r>
        <w:rPr>
          <w:b/>
          <w:bCs/>
          <w:color w:val="1F4E79"/>
          <w:sz w:val="36"/>
          <w:szCs w:val="36"/>
        </w:rPr>
        <w:t xml:space="preserve">15. Список источников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Спецификации моделей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Qwen3.6-35B-A3B: https://huggingface.co/Qwen/Qwen3.6-35B-A3B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Qwen 3.6 VRAM: https://willitrunai.com/blog/qwen-3-6-vram-requirements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Qwen3.6 GitHub: https://github.com/QwenLM/Qwen3.6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gpt-oss-20b: https://huggingface.co/openai/gpt-oss-20b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GPT-OSS 20B VRAM: https://apxml.com/models/gpt-oss-20b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GLM-5.1 Specifications: https://apxml.com/models/glm-51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Deploy GLM-5.1: https://www.spheron.network/blog/deploy-glm-5-1-gpu-cloud/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deepseek-r1-tool-calling: https://ollama.com/MFDoom/deepseek-r1-tool-calling:14b-qwen-distill-q4_K_M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qwen2.5-coder:14b: https://ollama.com/library/qwen2.5-coder:14b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Программные платформы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vLLM: https://vllm.ai/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vLLM Benchmarks 2026: https://www.morphllm.com/vllm-benchmarks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Ollama vs vLLM 2026: https://www.sitepoint.com/ollama-vs-vllm-performance-benchmark-2026/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Ollama Parallel: https://www.glukhov.org/llm-performance/ollama/how-ollama-handles-parallel-requests/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vLLM vs SGLang 2026: https://leetllm.com/blog/llm-inference-engine-comparison-2026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AMD ROCm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AMD ROCm 7.0: https://www.amd.com/en/developer/resources/technical-articles/2025/amd-rocm-7-built-for-developers-ready-for-enterprises.html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vLLM on ROCm: https://rocm.docs.amd.com/en/latest/how-to/rocm-for-ai/inference/benchmark-docker/vllm.html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vLLM on AMD blog: https://blog.vllm.ai/2026/02/27/rocm-attention-backend.html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MI300X validation: https://rocm.docs.amd.com/en/latest/how-to/performance-validation/mi300x/vllm-benchmark.html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NVIDIA бенчмарки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RTX 5090 Benchmarks: https://www.runpod.io/blog/rtx-5090-llm-benchmarks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RTX 5090 results: https://www.hardware-corner.net/rtx-5090-llm-benchmarks/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RTX comparison: https://www.cloudrift.ai/blog/benchmarking-rtx-gpus-for-llm-inference</w:t>
      </w:r>
    </w:p>
    <w:p>
      <w:pPr>
        <w:pStyle w:val="Heading2"/>
        <w:spacing w:after="120" w:before="240"/>
      </w:pPr>
      <w:r>
        <w:rPr>
          <w:b/>
          <w:bCs/>
          <w:color w:val="2E75B6"/>
          <w:sz w:val="28"/>
          <w:szCs w:val="28"/>
        </w:rPr>
        <w:t xml:space="preserve">Multi-GPU конфигурации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4x 4090 workstation: https://sabareesh.com/posts/llm-rig/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Multi-GPU 2026: https://www.compute-market.com/blog/multi-gpu-local-llm-setup-guide-2026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  <w:sz w:val="22"/>
          <w:szCs w:val="22"/>
        </w:rPr>
        <w:t xml:space="preserve">BIZON X5500: https://bizon-tech.com/bizon-x5500.html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8"/>
        <w:szCs w:val="18"/>
      </w:rPr>
      <w:t xml:space="preserve">Страница </w:t>
    </w:r>
    <w:r>
      <w:rPr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8"/>
        <w:szCs w:val="18"/>
      </w:rPr>
      <w:t xml:space="preserve"> из </w:t>
    </w:r>
    <w:r>
      <w:rPr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7278aca41670200a1ff0cf499656403eb30e484.png"/><Relationship Id="rId9" Type="http://schemas.openxmlformats.org/officeDocument/2006/relationships/image" Target="media/10c728c347df4c42c7648b29ddf9d125c60efb39.png"/><Relationship Id="rId10" Type="http://schemas.openxmlformats.org/officeDocument/2006/relationships/image" Target="media/cfaa7e4a1a9c07e20a2f3729ef21baf64d4546f1.png"/><Relationship Id="rId11" Type="http://schemas.openxmlformats.org/officeDocument/2006/relationships/image" Target="media/f5b498ae326711a6c4a4d5f2033d869642f04d84.png"/><Relationship Id="rId12" Type="http://schemas.openxmlformats.org/officeDocument/2006/relationships/image" Target="media/f75077feccbbdd3add84812d1a069f0f3e6c24d4.png"/><Relationship Id="rId13" Type="http://schemas.openxmlformats.org/officeDocument/2006/relationships/image" Target="media/c283878c6ba0499531b21bef2acd8e2ab595bd86.png"/><Relationship Id="rId14" Type="http://schemas.openxmlformats.org/officeDocument/2006/relationships/image" Target="media/27dfc082075cb897915bf05d11497251ecc71986.png"/><Relationship Id="rId15" Type="http://schemas.openxmlformats.org/officeDocument/2006/relationships/image" Target="media/1431cdbef53fbf9d040ca676f5f2771c6dcd0cae.png"/><Relationship Id="rId16" Type="http://schemas.openxmlformats.org/officeDocument/2006/relationships/image" Target="media/13cfcd2940c0d9d9b3ce181a74a747b702e310ef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Hardware Technical Deep Dive — 2026-04-22</dc:title>
  <dc:creator>DSP-GPU R&amp;D</dc:creator>
  <cp:lastModifiedBy>Un-named</cp:lastModifiedBy>
  <cp:revision>1</cp:revision>
  <dcterms:created xsi:type="dcterms:W3CDTF">2026-04-22T20:46:20.791Z</dcterms:created>
  <dcterms:modified xsi:type="dcterms:W3CDTF">2026-04-22T20:46:20.791Z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