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4E79"/>
          <w:sz w:val="48"/>
          <w:szCs w:val="48"/>
        </w:rPr>
        <w:t xml:space="preserve">Выбор оборудования для локального LLM-сервера</w:t>
      </w:r>
    </w:p>
    <w:p>
      <w:pPr>
        <w:spacing w:after="240"/>
        <w:jc w:val="center"/>
      </w:pPr>
      <w:r>
        <w:rPr>
          <w:color w:val="2E75B6"/>
          <w:sz w:val="28"/>
          <w:szCs w:val="28"/>
        </w:rPr>
        <w:t xml:space="preserve">Краткая справка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22 апреля 2026 г.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Автор: Отдел НИОКР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Аудитория: руководство, IT-директор, специалисты</w:t>
      </w:r>
    </w:p>
    <w:p>
      <w:pPr>
        <w:spacing w:after="480"/>
        <w:jc w:val="center"/>
      </w:pPr>
      <w:r>
        <w:rPr>
          <w:color w:val="555555"/>
          <w:sz w:val="22"/>
          <w:szCs w:val="22"/>
        </w:rPr>
        <w:t xml:space="preserve">Версия 1.0</w:t>
      </w:r>
    </w:p>
    <w:p>
      <w:r>
        <w:br w:type="page"/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Постановка задачи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Локальный сервер LLM для трёх программистов, работающих одновременно через AI-агентов, с возможностью периодического дообучения моделей 7–14 B методом QLoRA. Тестируемые модели: qwen3.6-35B-A3B, gpt-oss-20b, glm-5.1, deepseek-r1:14b-qwen-distill-q4_K_M, qwen2.5-coder:14b.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Выводы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GLM-5.1 (754 B параметров) непригодна для локальной станции. Требует 8 × H200 либо 4–8 × MI300X. Рекомендуется исключить из тестирования.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Минимально рабочая конфигурация — 2 × NVIDIA RTX 5090 (32 ГБ), суммарно 64 ГБ VRAM. Покрывает все модели кроме GLM-5.1 при трёх одновременных пользователях.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Рекомендуемая конфигурация — 1 × AMD Instinct MI300X (192 ГБ HBM3). Одна карта покрывает все задачи, включая LoRA 35 B, с запасом на рост до 15 пользователей.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Серверная программа обязательна vLLM либо SGLang, не Ollama. При трёх пользователях Ollama даёт задержку 24.7 с (p99), vLLM — меньше 3 с на том же железе.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Операционная система — Ubuntu 24.04 LTS. Windows не подходит для серверной части.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Сводная таблица конфигураций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900"/>
        <w:gridCol w:w="1000"/>
        <w:gridCol w:w="1000"/>
        <w:gridCol w:w="3340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VRAM, ГБ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Польз.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LoRA 14B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LoRA 35B</w:t>
            </w:r>
          </w:p>
        </w:tc>
        <w:tc>
          <w:tcPr>
            <w:tcW w:type="dxa" w:w="3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1× RTX 5060 Ti 16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1–2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3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Недостаточно для сервера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4× RTX 5060 Ti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8–10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3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Multi-GPU без NVLink — 15-30% потерь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4× RTX 5080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10–12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 карта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нет</w:t>
            </w:r>
          </w:p>
        </w:tc>
        <w:tc>
          <w:tcPr>
            <w:tcW w:type="dxa" w:w="3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Выше bandwidth памяти чем 5060 Ti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4× RTX 4090 24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96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14–16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3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Классическая AI-workstation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2× RTX 5090 32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12–14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ограниченно</w:t>
            </w:r>
          </w:p>
        </w:tc>
        <w:tc>
          <w:tcPr>
            <w:tcW w:type="dxa" w:w="3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Лучший потребительский вариант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1× AMD MI210 64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одна карта</w:t>
            </w:r>
          </w:p>
        </w:tc>
        <w:tc>
          <w:tcPr>
            <w:tcW w:type="dxa" w:w="3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Не рекоменд. — исключён из нового vLLM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1× AMD MI250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128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3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То же — устаревшая поддержка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1× AMD MI300X 192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192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25–30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3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Рекомендуется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2× AMD MI300X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384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50–60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 (70B)</w:t>
            </w:r>
          </w:p>
        </w:tc>
        <w:tc>
          <w:tcPr>
            <w:tcW w:type="dxa" w:w="3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С запасом на GLM-5.1 в INT4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1× AMD MI350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288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да</w:t>
            </w:r>
          </w:p>
        </w:tc>
        <w:tc>
          <w:tcPr>
            <w:tcW w:type="dxa" w:w="3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Избыточно для заявленной задачи</w:t>
            </w:r>
          </w:p>
        </w:tc>
      </w:tr>
    </w:tbl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Видеопамять карт из списка закупки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2_gpu_capacity.png" descr="Видеопамять одной карты каждого типа" title="Видеопамять одной карты каждого ти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Видеопамять одной карты каждого типа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Требования видеопамяти по моделям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933700"/>
            <wp:effectExtent t="0" r="0" b="0" l="0"/>
            <wp:docPr id="1" name="01_model_vram.png" descr="Требование VRAM по моделям и сравнение с доступными картами" title="Требование VRAM по моделям и сравнение с доступными кар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40"/>
        <w:jc w:val="center"/>
      </w:pPr>
      <w:r>
        <w:rPr>
          <w:color w:val="555555"/>
          <w:sz w:val="20"/>
          <w:szCs w:val="20"/>
        </w:rPr>
        <w:t xml:space="preserve">Требование VRAM по моделям и сравнение с доступными картами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Констатации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Видеопамять — определяющий параметр. Недостаток VRAM делает карту бесполезной независимо от её вычислительной мощности.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Потребительские карты без NVLink теряют 15–30 % производительности в multi-GPU режиме. Четыре RTX 4090 не равны одной карте с 96 ГБ.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Серверные AMD Instinct MI300X и выше имеют прямую поддержку ROCm 7.0, vLLM, SGLang в виде официальных Docker-контейнеров.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Серверные AMD MI210 и MI250 (архитектура CDNA 2, 2021 года) исключены из свежих prebuilt решений. Срок активной поддержки — 12–18 месяцев.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3 пользователя × 20–50 обращений агента в минуту = 60–150 запросов/мин. Серверная программа-балансировщик (vLLM/SGLang с continuous batching) обеспечивает предсказуемую задержку.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QLoRA-дообучение 7–14 B моделей требует 8–16 ГБ VRAM; все рекомендуемые конфигурации это покрывают.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Ubuntu 24.04 LTS + Docker + vLLM (или его ROCm-версия) = стандартный production-стек.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Риски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Закупка MI210/MI250: через 12–18 месяцев прекратятся обновления prebuilt-контейнеров AMD.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Закупка ≥ 4 потребительских карт: требует специализированного корпуса, двух блоков питания, сертифицированной платформы Threadripper Pro. Рекомендуется готовая сборка.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Включение GLM-5.1 в программу тестирования потребует кластерной инфраструктуры вне рамок одной рабочей станции.</w:t>
      </w:r>
    </w:p>
    <w:p>
      <w:pPr>
        <w:pStyle w:val="Heading1"/>
        <w:spacing w:after="180" w:before="320"/>
      </w:pPr>
      <w:r>
        <w:rPr>
          <w:b/>
          <w:bCs/>
          <w:color w:val="1F4E79"/>
          <w:sz w:val="36"/>
          <w:szCs w:val="36"/>
        </w:rPr>
        <w:t xml:space="preserve">Финальная рекомендация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Сервер: 4U rack-mount на Supermicro AS-8125GS-TNMR2 или Dell PowerEdge XE9680.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GPU: 1 × AMD Instinct MI300X 192 ГБ HBM3 (опционально расширение до 2 карт).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CPU: 2 × AMD EPYC 9354 (64 физических ядра суммарно).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RAM: 512 ГБ DDR5 ECC.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Диски: 2 × 3.84 ТБ NVMe (система, RAID 1) + 4 × 7.68 ТБ NVMe (модели, RAID 10).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Сеть: 2 × 25 GbE.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ОС: Ubuntu 24.04 LTS.</w:t>
      </w:r>
    </w:p>
    <w:p>
      <w:pPr>
        <w:spacing w:after="100"/>
        <w:jc w:val="both"/>
      </w:pPr>
      <w:r>
        <w:rPr>
          <w:color w:val="1A1A1A"/>
          <w:sz w:val="22"/>
          <w:szCs w:val="22"/>
        </w:rPr>
        <w:t xml:space="preserve">Программный стек: ROCm 7.0 + vLLM 0.9+ (официальный контейнер AMD rocm/vllm:rocm7.0_vllm_mi300x).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Страница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из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4f8f6d340930c7645044a405bbe13fc6ee83d4b.png"/><Relationship Id="rId9" Type="http://schemas.openxmlformats.org/officeDocument/2006/relationships/image" Target="media/e7278aca41670200a1ff0cf499656403eb30e48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Hardware Brief — 2026-04-22</dc:title>
  <dc:creator>DSP-GPU R&amp;D</dc:creator>
  <cp:lastModifiedBy>Un-named</cp:lastModifiedBy>
  <cp:revision>1</cp:revision>
  <dcterms:created xsi:type="dcterms:W3CDTF">2026-04-22T20:25:32.921Z</dcterms:created>
  <dcterms:modified xsi:type="dcterms:W3CDTF">2026-04-22T20:25:32.922Z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