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b/>
          <w:bCs/>
          <w:color w:val="1F4E79"/>
          <w:sz w:val="48"/>
          <w:szCs w:val="48"/>
        </w:rPr>
        <w:t xml:space="preserve">Выбор оборудования для локального LLM-сервера</w:t>
      </w:r>
    </w:p>
    <w:p>
      <w:pPr>
        <w:spacing w:after="240"/>
        <w:jc w:val="center"/>
      </w:pPr>
      <w:r>
        <w:rPr>
          <w:color w:val="2E75B6"/>
          <w:sz w:val="28"/>
          <w:szCs w:val="28"/>
        </w:rPr>
        <w:t xml:space="preserve">Исполнительное резюме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22 апреля 2026 г.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Автор: Отдел НИОКР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Аудитория: руководство, финансовый блок, IT-директор</w:t>
      </w:r>
    </w:p>
    <w:p>
      <w:pPr>
        <w:spacing w:after="480"/>
        <w:jc w:val="center"/>
      </w:pPr>
      <w:r>
        <w:rPr>
          <w:color w:val="555555"/>
          <w:sz w:val="22"/>
          <w:szCs w:val="22"/>
        </w:rPr>
        <w:t xml:space="preserve">Версия 2.0</w:t>
      </w:r>
    </w:p>
    <w:p>
      <w:r>
        <w:br w:type="page"/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1. Цель документа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Обосновать выбор серверной конфигурации для размещения локальных больших языковых моделей, обеспечивающих работу не менее трёх разработчиков одновременно с программными агентами, с возможностью периодического дообучения моделей 7–14 B.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Документ не обсуждает стоимость. Он отвечает на вопрос: какая минимальная и какая оптимальная конфигурация даёт плавную работу трёх специалистов с локальной моделью, не уступающей по скорости облачным сервисам?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2. Краткий вывод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400"/>
        <w:gridCol w:w="3200"/>
        <w:gridCol w:w="3840"/>
      </w:tblGrid>
      <w:tr>
        <w:trPr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№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Сценарий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Рекомендуемая конфигурация</w:t>
            </w:r>
          </w:p>
        </w:tc>
        <w:tc>
          <w:tcPr>
            <w:tcW w:type="dxa" w:w="38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Обоснование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Минимально-достаточно (1–3 разработчика, редкие пики)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RTX 5090 (32 ГБ)</w:t>
            </w:r>
          </w:p>
        </w:tc>
        <w:tc>
          <w:tcPr>
            <w:tcW w:type="dxa" w:w="38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 ГБ суммарной VRAM, все модели кроме GLM-5.1. Сопоставима с 1 × H100 по пропускной способности.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Рекомендуемо (3 разработчика + QLoRA 7–14 B)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 × AMD Instinct MI300X (192 ГБ)</w:t>
            </w:r>
          </w:p>
        </w:tc>
        <w:tc>
          <w:tcPr>
            <w:tcW w:type="dxa" w:w="38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Серверный класс, 192 ГБ HBM3, нативная поддержка vLLM/ROCm 7. Одна карта, одна машина.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 запасом (рост до 5–10 польз., регулярное дообучение)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1–2 × MI300X или 4 × RTX 4090</w:t>
            </w:r>
          </w:p>
        </w:tc>
        <w:tc>
          <w:tcPr>
            <w:tcW w:type="dxa" w:w="38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Две MI300X = 384 ГБ, поднимает GLM-5.1 в INT4. Альтернатива — четыре RTX 4090.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preserve"/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Не рекомендуется к закупке: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AMD MI210 и MI250 — сняты с основного пути поддержки AMD.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RTX 5060 Ti и RTX 5080 (16 ГБ) — недостаточно памяти для надёжной работы трёх пользователей.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AMD MI350 — избыточная мощность для заявленной задачи.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3. Ключевые ограничения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3.1. Видеопамять — главный параметр GPU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Модель LLM — это файл с весовыми коэффициентами. Чтобы модель работала, весь этот файл должен быть загружен в видеопамять карты. Если памяти не хватает, часть модели хранится в оперативной памяти компьютера, что замедляет работу в десятки раз.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1_model_vram.png" descr="Сколько видеопамяти нужно моделям после квантизации" title="Сколько видеопамяти нужно моделям после квантиз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Сколько видеопамяти нужно моделям после квантизации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Модель glm-5.1 — публичная, но очень требовательная. В обычном виде занимает около 1.5 ТБ, после сжатия AWQ INT4 — 380 ГБ. Физически не помещается ни в одну из заявленных карт.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3.2. Видеопамять разных карт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2_gpu_capacity.png" descr="Видеопамять одной карты каждого типа" title="Видеопамять одной карты каждого тип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Видеопамять одной карты каждого типа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3.3. Почему при работе трёх пользователей возникает торможение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Типичный запрос разработчика — «напиши функцию», «покажи ошибку», «найди все места использования» — порождает десятки подзапросов, которые агент отправляет модели. Три пользователя порождают шторм из 30–150 параллельных запросов.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Программы-серверы LLM делятся на два типа: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Простые (Ollama, LM Studio) обрабатывают запросы по очереди. Первый получает ответ, остальные ждут. Пользователи видят это как «программа зависла».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Серверные (vLLM, SGLang) используют «непрерывную пакетную обработку» — обрабатывают десятки запросов одновременно в одном GPU-проходе.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4_latency_ollama_vs_vllm.png" descr="Задержка отклика LLM при росте нагрузки" title="Задержка отклика LLM при росте нагру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Задержка отклика LLM при росте нагрузки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Измерения 2026 года: при 50 одновременных запросах Ollama даёт задержку 99-й перцентили 24.7 секунды, vLLM на том же железе — менее 3 секунд при шестикратно большей пропускной способности.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Выбор серверной программы столь же важен, как выбор карты.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3.4. Дообучение (LoRA, QLoRA)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LoRA добавляет к модели «адаптер» (1–5 % от размера). Требует памяти примерно на 30 % больше обычного использования.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QLoRA — то же, но модель хранится в сжатом виде. Требование к памяти снижается до уровня обычного использования.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5_lora_vs_qlora.png" descr="Требования памяти: инференс vs LoRA vs QLoRA" title="Требования памяти: инференс vs LoRA vs QL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Требования памяти: инференс vs LoRA vs QLoRA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Для заявленной задачи (периодическое QLoRA над моделями 7–14 B) достаточно любой конфигурации с 16 ГБ+ на одной карте.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4. Все варианты конфигураций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3_all_configs_vram.png" descr="Суммарная VRAM для всех возможных конфигураций из списка закупки" title="Суммарная VRAM для всех возможных конфигураций из списка закуп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Суммарная VRAM для всех возможных конфигураций из списка закупки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Цветовая кодировка: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Красное: менее 20 ГБ — недостаточно для 3 пользователей даже на моделях 14 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Оранжевое: 20–40 ГБ — работает с одним пользователем или минимальным контекстом.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Голубое: 40–96 ГБ — комфортная работа 3–10 пользователей.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Зелёное: более 96 ГБ — масштаб плюс дообучение больших моделей.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5. Сколько пользователей держит каждая конфигурация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9_users_capacity_heatmap.png" descr="Оценочная ёмкость по одновременным пользователям на модель" title="Оценочная ёмкость по одновременным пользователям на мод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Оценочная ёмкость по одновременным пользователям на модель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Значения — при использовании vLLM с continuous batching, контекст 16К токенов, нагрузка от агентов. «нет VRAM» означает что модель физически не помещается в суммарную память конфигурации.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6. Разбор предложенных GPU по группам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6.1. Слабые потребительские 16 ГБ — RTX 5060 Ti и RTX 5080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00"/>
        <w:gridCol w:w="1200"/>
        <w:gridCol w:w="1200"/>
        <w:gridCol w:w="1200"/>
        <w:gridCol w:w="1100"/>
        <w:gridCol w:w="1100"/>
        <w:gridCol w:w="1940"/>
      </w:tblGrid>
      <w:tr>
        <w:trPr>
          <w:tblHeader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Кол-во карт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VRAM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14B dense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20B MoE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35B MoE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 польз.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LoRA 14B</w:t>
            </w:r>
          </w:p>
        </w:tc>
        <w:tc>
          <w:tcPr>
            <w:tcW w:type="dxa" w:w="19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Впритык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Впритык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9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Single-user экспериментарий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2–3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9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Минимально серверная, до 20B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Через TP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8–12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 карта</w:t>
            </w:r>
          </w:p>
        </w:tc>
        <w:tc>
          <w:tcPr>
            <w:tcW w:type="dxa" w:w="19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Работает с оговорками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preserve"/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Оба варианта (5060 Ti и 5080) имеют одну проблему — 16 ГБ не хватает. RTX 5080 быстрее за счёт памяти (960 ГБ/с против 448), но потолок тот же. Для серверной работы с тремя пользователями эти карты не подходят в одиночной конфигурации.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Сценарий «4 × RTX 5060 Ti или 4 × RTX 5080» подробно разобран в техническом документе — суммарных 64 ГБ хватает, но без NVLink появляются существенные ограничения.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6.2. Средние потребительские — RTX 4090 и RTX 5090</w:t>
      </w:r>
    </w:p>
    <w:tbl>
      <w:tblPr>
        <w:tblW w:type="dxa" w:w="8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1200"/>
        <w:gridCol w:w="1000"/>
        <w:gridCol w:w="1000"/>
        <w:gridCol w:w="1100"/>
        <w:gridCol w:w="1100"/>
        <w:gridCol w:w="940"/>
      </w:tblGrid>
      <w:tr>
        <w:trPr>
          <w:tblHeader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Конфигурация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VRAM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 польз.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35B MoE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70B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LoRA 14B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LoRA 35B</w:t>
            </w:r>
          </w:p>
        </w:tc>
        <w:tc>
          <w:tcPr>
            <w:tcW w:type="dxa" w:w="9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1× RTX 4090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До 4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9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Минимум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2× RTX 4090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48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До 8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TP Q4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9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Малая команда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3× RTX 4090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72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До 12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 Q4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9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Спец-сборка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4× RTX 4090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96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До 16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 Q4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 (QLoRA)</w:t>
            </w:r>
          </w:p>
        </w:tc>
        <w:tc>
          <w:tcPr>
            <w:tcW w:type="dxa" w:w="9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Workstation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1× RTX 5090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До 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9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Одиночная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2× RTX 5090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До 14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Q4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Ограниченно</w:t>
            </w:r>
          </w:p>
        </w:tc>
        <w:tc>
          <w:tcPr>
            <w:tcW w:type="dxa" w:w="9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Оптимум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6.3. Устаревшие серверные — MI210 и MI250</w:t>
      </w:r>
    </w:p>
    <w:tbl>
      <w:tblPr>
        <w:tblW w:type="dxa" w:w="8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2400"/>
        <w:gridCol w:w="1800"/>
        <w:gridCol w:w="1660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Конфигурация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VRAM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Поддержка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Prebuilt vLLM</w:t>
            </w:r>
          </w:p>
        </w:tc>
        <w:tc>
          <w:tcPr>
            <w:tcW w:type="dxa" w:w="1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1× MI210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Завершается (CDNA 2, 2021)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 (ручная сборка)</w:t>
            </w:r>
          </w:p>
        </w:tc>
        <w:tc>
          <w:tcPr>
            <w:tcW w:type="dxa" w:w="1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62828"/>
                <w:sz w:val="20"/>
                <w:szCs w:val="20"/>
              </w:rPr>
              <w:t xml:space="preserve">Не рекомендуется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2× MI210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128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То же + баги multi-GPU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62828"/>
                <w:sz w:val="20"/>
                <w:szCs w:val="20"/>
              </w:rPr>
              <w:t xml:space="preserve">Не рекомендуется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1× MI250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128 (2×64)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То же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62828"/>
                <w:sz w:val="20"/>
                <w:szCs w:val="20"/>
              </w:rPr>
              <w:t xml:space="preserve">Не рекомендуется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2× MI250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256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То же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62828"/>
                <w:sz w:val="20"/>
                <w:szCs w:val="20"/>
              </w:rPr>
              <w:t xml:space="preserve">Не рекомендуется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preserve"/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Prebuilt Docker-образы AMD для vLLM (rocm/vllm) исключают MI210/MI250 из списка поддержки начиная с ROCm 7.0. Требуется самостоятельная сборка. Риск потери актуальной поддержки — 12–18 месяцев. MI250 также двухчиповая — требует спец. настройки inter-chip коммуникации.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Единственный сценарий покупки: если организация уже владеет такой картой и имеет собственную экспертизу ROCm. Новая закупка в 2026 году не оправдана.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6.4. Современные серверные — MI300X</w:t>
      </w:r>
    </w:p>
    <w:tbl>
      <w:tblPr>
        <w:tblW w:type="dxa" w:w="8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400"/>
        <w:gridCol w:w="1200"/>
        <w:gridCol w:w="1200"/>
        <w:gridCol w:w="1400"/>
        <w:gridCol w:w="1060"/>
      </w:tblGrid>
      <w:tr>
        <w:trPr>
          <w:tblHeader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Конфигурация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VRAM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 польз.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35B MoE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GLM-5.1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Масштаб</w:t>
            </w:r>
          </w:p>
        </w:tc>
        <w:tc>
          <w:tcPr>
            <w:tcW w:type="dxa" w:w="1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1× MI300X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192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Да, с запасом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25–30 польз.</w:t>
            </w:r>
          </w:p>
        </w:tc>
        <w:tc>
          <w:tcPr>
            <w:tcW w:type="dxa" w:w="1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Оптимум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2× MI300X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384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Да, огромный запас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 (INT4)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50–60 польз.</w:t>
            </w:r>
          </w:p>
        </w:tc>
        <w:tc>
          <w:tcPr>
            <w:tcW w:type="dxa" w:w="1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E7D32"/>
                <w:sz w:val="20"/>
                <w:szCs w:val="20"/>
              </w:rPr>
              <w:t xml:space="preserve">С запасом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192 ГБ в одной карте — помещает модель плюс KV-кеши 20+ одновременных пользователей.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Полная поддержка ROCm 7.0 + vLLM (официальный prebuilt Docker от AMD).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Оптимизации ROCM_AITER_FA дают 2.8–4.6x TPOT speedup против предыдущих поколений.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Активная поддержка производителем до 2028–2029 гг.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6.5. Флагманские серверные — MI350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Архитектура CDNA 4, ~288 ГБ HBM3e. Преимущества: нативный MXFP4 / FP4, +80 % FP8 против MI300X.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Для заявленной задачи (3 разработчика, модели до 35 B, QLoRA 7–14 B) флагман избыточен. Оправдан при планах на 50+ пользователей или работе с моделями 100 B+.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7. Операционная система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Сервер должен работать под Linux. Ни одна из программ промышленного уровня (vLLM, SGLang, TensorRT-LLM, свежие версии ROCm) не имеет полноценной серверной поддержки Windows.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Оборудование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Рекомендация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NVIDIA RTX серии 40/50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 (первичный) или Ubuntu 22.04 LTS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AMD MI210 / MI250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22.04 LTS или RHEL 9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AMD MI300X / MI350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 или RHEL 9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preserve"/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Windows рассматривается только как среда для разработки клиентской части (IDE разработчика, инструменты). Сам сервер LLM — Linux.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8. Параметры серверного компьютера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Вариант A (4× RTX 4090 / 2× RTX 5090)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Вариант B (1× MI300X)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Threadripper Pro 7965WX (24 ядра)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EPYC 9354 (64 ядра суммарно)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ОЗУ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256 ГБ DDR5 ECC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512 ГБ DDR5 ECC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Материнская плата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WRX90, 7 × PCIe 5.0 x16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Dell XE9680 / Supermicro AS-8125GS-TNMR2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Системный диск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2 ТБ NVMe Gen5 (RAID 1)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3.84 ТБ NVMe (RAID 1)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Диск моделей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4 ТБ NVMe Gen5 (RAID 10)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7.68 ТБ NVMe (RAID 10)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Сеть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10 GbE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25 GbE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Блок питания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1600 Вт Titanium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2000 Вт Platinum (N+N)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Корпус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Full-tower рабочая станция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4U rack-mount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Охлаждение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Воздушное, 8+ вентиляторов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Серверное, стойка ≤ 22 °C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ОС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</w:t>
            </w:r>
          </w:p>
        </w:tc>
      </w:tr>
    </w:tbl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9. Сценарий роста нагрузки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10_growth_scenario.png" descr="Прогноз роста числа пользователей и потолки конфигураций" title="Прогноз роста числа пользователей и потолки конфигурац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Прогноз роста числа пользователей и потолки конфигураций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Прогноз за два года: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Старт: 3 разработчика.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6 месяцев: 5 (подключение тестировщиков).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12 месяцев: 7 (расширение команды).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18 месяцев: 10 (фоновые процессы, review-агенты, тесты).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24 месяца: 15 (интеграция с корпоративными инструментами).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Потолки конфигураций: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1 × RTX 4090 / RTX 5090: до 5–6 пользователей (хватит на 3–6 месяцев).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4 × RTX 4090 или 2 × RTX 5090: до 12–14 пользователей (хватит на 18–24 месяца).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1 × MI300X: до 25–30 пользователей (хватит на 3+ года).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10. Финальная рекомендация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Оптимальный выбор — AMD Instinct MI300X в серверном исполнении. Это решение: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не накладывает компромиссов по видеопамяти (192 ГБ в одной карте),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официально поддерживается производителем на 3–5 лет вперёд,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работает со всеми заявленными моделями кроме GLM-5.1,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масштабируется добавлением второй карты до 384 ГБ — тогда GLM-5.1 становится доступна в квантизации INT4,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обеспечивает плавную работу трёх разработчиков с запасом на рост до 15 человек,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поддерживает весь стек vLLM / SGLang через официальные контейнеры AMD.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/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Если формат серверного рэка не подходит по инфраструктурным причинам — замена на 4 × NVIDIA RTX 4090 в рабочей станции Threadripper Pro покрывает 80 % задач при форм-факторе «большой компьютер под столом».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Технические обоснования, бенчмарки, подробные конфигурации, разбор гибридных сценариев и сценарий многокарточной работы на 4 × RTX 5060 Ti приведены в документе-спутнике «Техническое обоснование».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8"/>
        <w:szCs w:val="18"/>
      </w:rPr>
      <w:t xml:space="preserve">Страница </w:t>
    </w:r>
    <w:r>
      <w:rPr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8"/>
        <w:szCs w:val="18"/>
      </w:rPr>
      <w:t xml:space="preserve"> из </w:t>
    </w:r>
    <w:r>
      <w:rPr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7278aca41670200a1ff0cf499656403eb30e484.png"/><Relationship Id="rId9" Type="http://schemas.openxmlformats.org/officeDocument/2006/relationships/image" Target="media/e4f8f6d340930c7645044a405bbe13fc6ee83d4b.png"/><Relationship Id="rId10" Type="http://schemas.openxmlformats.org/officeDocument/2006/relationships/image" Target="media/cfaa7e4a1a9c07e20a2f3729ef21baf64d4546f1.png"/><Relationship Id="rId11" Type="http://schemas.openxmlformats.org/officeDocument/2006/relationships/image" Target="media/27dfc082075cb897915bf05d11497251ecc71986.png"/><Relationship Id="rId12" Type="http://schemas.openxmlformats.org/officeDocument/2006/relationships/image" Target="media/f75077feccbbdd3add84812d1a069f0f3e6c24d4.png"/><Relationship Id="rId13" Type="http://schemas.openxmlformats.org/officeDocument/2006/relationships/image" Target="media/13cfcd2940c0d9d9b3ce181a74a747b702e310ef.png"/><Relationship Id="rId14" Type="http://schemas.openxmlformats.org/officeDocument/2006/relationships/image" Target="media/1431cdbef53fbf9d040ca676f5f2771c6dcd0ca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Hardware Executive Summary — 2026-04-22</dc:title>
  <dc:creator>DSP-GPU R&amp;D</dc:creator>
  <cp:lastModifiedBy>Un-named</cp:lastModifiedBy>
  <cp:revision>1</cp:revision>
  <dcterms:created xsi:type="dcterms:W3CDTF">2026-04-22T20:25:33.051Z</dcterms:created>
  <dcterms:modified xsi:type="dcterms:W3CDTF">2026-04-22T20:25:33.051Z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