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80"/>
        <w:jc w:val="center"/>
      </w:pPr>
      <w:r>
        <w:rPr>
          <w:b/>
          <w:bCs/>
          <w:color w:val="1F4E79"/>
          <w:sz w:val="48"/>
          <w:szCs w:val="48"/>
        </w:rPr>
        <w:t xml:space="preserve">Выбор оборудования для локального LLM-сервера</w:t>
      </w:r>
    </w:p>
    <w:p>
      <w:pPr>
        <w:spacing w:after="240"/>
        <w:jc w:val="center"/>
      </w:pPr>
      <w:r>
        <w:rPr>
          <w:color w:val="2E75B6"/>
          <w:sz w:val="28"/>
          <w:szCs w:val="28"/>
        </w:rPr>
        <w:t xml:space="preserve">Краткая справка</w:t>
      </w:r>
    </w:p>
    <w:p>
      <w:pPr>
        <w:spacing w:after="80"/>
        <w:jc w:val="center"/>
      </w:pPr>
      <w:r>
        <w:rPr>
          <w:color w:val="555555"/>
          <w:sz w:val="22"/>
          <w:szCs w:val="22"/>
        </w:rPr>
        <w:t xml:space="preserve">22 апреля 2026 г.</w:t>
      </w:r>
    </w:p>
    <w:p>
      <w:pPr>
        <w:spacing w:after="80"/>
        <w:jc w:val="center"/>
      </w:pPr>
      <w:r>
        <w:rPr>
          <w:color w:val="555555"/>
          <w:sz w:val="22"/>
          <w:szCs w:val="22"/>
        </w:rPr>
        <w:t xml:space="preserve">Автор: Отдел НИОКР</w:t>
      </w:r>
    </w:p>
    <w:p>
      <w:pPr>
        <w:spacing w:after="80"/>
        <w:jc w:val="center"/>
      </w:pPr>
      <w:r>
        <w:rPr>
          <w:color w:val="555555"/>
          <w:sz w:val="22"/>
          <w:szCs w:val="22"/>
        </w:rPr>
        <w:t xml:space="preserve">Аудитория: руководство, IT-директор, специалисты</w:t>
      </w:r>
    </w:p>
    <w:p>
      <w:pPr>
        <w:spacing w:after="480"/>
        <w:jc w:val="center"/>
      </w:pPr>
      <w:r>
        <w:rPr>
          <w:color w:val="555555"/>
          <w:sz w:val="22"/>
          <w:szCs w:val="22"/>
        </w:rPr>
        <w:t xml:space="preserve">Версия 1.1</w:t>
      </w:r>
    </w:p>
    <w:p>
      <w:r>
        <w:br w:type="page"/>
      </w:r>
    </w:p>
    <w:p>
      <w:pPr>
        <w:pStyle w:val="Heading1"/>
        <w:spacing w:after="180" w:before="320"/>
      </w:pPr>
      <w:r>
        <w:rPr>
          <w:b/>
          <w:bCs/>
          <w:color w:val="1F4E79"/>
          <w:sz w:val="36"/>
          <w:szCs w:val="36"/>
        </w:rPr>
        <w:t xml:space="preserve">Постановка задачи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Локальный сервер LLM для трёх программистов, работающих одновременно через AI-агентов, с возможностью периодического дообучения моделей 7–14 B методом QLoRA. Тестируемые модели: qwen3.6-35B-A3B, gpt-oss-20b, glm-5.1, deepseek-r1:14b-qwen-distill-q4_K_M, qwen2.5-coder:14b.</w:t>
      </w:r>
    </w:p>
    <w:p>
      <w:pPr>
        <w:pStyle w:val="Heading1"/>
        <w:spacing w:after="180" w:before="320"/>
      </w:pPr>
      <w:r>
        <w:rPr>
          <w:b/>
          <w:bCs/>
          <w:color w:val="1F4E79"/>
          <w:sz w:val="36"/>
          <w:szCs w:val="36"/>
        </w:rPr>
        <w:t xml:space="preserve">Выводы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GLM-5.1 (754 B параметров) непригодна для локальной станции. Требует 8 × H200 либо 4–8 × MI300X. Рекомендуется исключить из тестирования в рамках этого проекта.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Серверная программа обязательна vLLM либо SGLang, а не Ollama. При трёх пользователях Ollama даёт задержку 24.7 с (p99), vLLM — меньше 3 с на том же железе.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Операционная система — Ubuntu 24.04 LTS. Windows не годится для серверной части.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Существует несколько рабочих сборок, покрывающих задачу в разной степени. Выбор зависит от доступности карт и ожидаемой траектории роста нагрузки.</w:t>
      </w:r>
    </w:p>
    <w:p>
      <w:pPr>
        <w:pStyle w:val="Heading1"/>
        <w:spacing w:after="180" w:before="320"/>
      </w:pPr>
      <w:r>
        <w:rPr>
          <w:b/>
          <w:bCs/>
          <w:color w:val="1F4E79"/>
          <w:sz w:val="36"/>
          <w:szCs w:val="36"/>
        </w:rPr>
        <w:t xml:space="preserve">Сводная таблица конфигураций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000"/>
        <w:gridCol w:w="900"/>
        <w:gridCol w:w="1100"/>
        <w:gridCol w:w="1100"/>
        <w:gridCol w:w="2860"/>
      </w:tblGrid>
      <w:tr>
        <w:trPr>
          <w:tblHeader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Конфигурация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VRAM, ГБ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Польз.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LoRA 14B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LoRA 35B</w:t>
            </w:r>
          </w:p>
        </w:tc>
        <w:tc>
          <w:tcPr>
            <w:tcW w:type="dxa" w:w="2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Комментарий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1× RTX 5060 Ti 16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16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1–2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нет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нет</w:t>
            </w:r>
          </w:p>
        </w:tc>
        <w:tc>
          <w:tcPr>
            <w:tcW w:type="dxa" w:w="2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Недостаточно для сервера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4× RTX 5060 Ti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64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8–10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QLoRA 7B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нет</w:t>
            </w:r>
          </w:p>
        </w:tc>
        <w:tc>
          <w:tcPr>
            <w:tcW w:type="dxa" w:w="2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Multi-GPU без NVLink — 25–40 % потерь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4× RTX 5080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64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10–12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 карта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нет</w:t>
            </w:r>
          </w:p>
        </w:tc>
        <w:tc>
          <w:tcPr>
            <w:tcW w:type="dxa" w:w="2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Та же VRAM, но быстрее память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2× RTX 4090 24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48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6–8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нет</w:t>
            </w:r>
          </w:p>
        </w:tc>
        <w:tc>
          <w:tcPr>
            <w:tcW w:type="dxa" w:w="2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Переходный вариант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4× RTX 4090 24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96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14–16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QLoRA</w:t>
            </w:r>
          </w:p>
        </w:tc>
        <w:tc>
          <w:tcPr>
            <w:tcW w:type="dxa" w:w="2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Классическая AI-workstation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2× RTX 5090 32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64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12–14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QLoRA</w:t>
            </w:r>
          </w:p>
        </w:tc>
        <w:tc>
          <w:tcPr>
            <w:tcW w:type="dxa" w:w="2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Лучший потребительский вариант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1× AMD MI210 64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64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12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одна карта</w:t>
            </w:r>
          </w:p>
        </w:tc>
        <w:tc>
          <w:tcPr>
            <w:tcW w:type="dxa" w:w="2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Не рек. — исключён из новых vLLM стеков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1× AMD MI250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128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16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</w:t>
            </w:r>
          </w:p>
        </w:tc>
        <w:tc>
          <w:tcPr>
            <w:tcW w:type="dxa" w:w="2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То же — устаревшая поддержка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1× AMD MI300X 192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192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25–30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</w:t>
            </w:r>
          </w:p>
        </w:tc>
        <w:tc>
          <w:tcPr>
            <w:tcW w:type="dxa" w:w="2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Идеал при доступе через OEM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2× AMD MI300X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384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50–60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 (70B)</w:t>
            </w:r>
          </w:p>
        </w:tc>
        <w:tc>
          <w:tcPr>
            <w:tcW w:type="dxa" w:w="2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С запасом на GLM-5.1 в INT4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1× AMD MI350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288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40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</w:t>
            </w:r>
          </w:p>
        </w:tc>
        <w:tc>
          <w:tcPr>
            <w:tcW w:type="dxa" w:w="2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Избыточно для заявленной задачи</w:t>
            </w:r>
          </w:p>
        </w:tc>
      </w:tr>
    </w:tbl>
    <w:p>
      <w:pPr>
        <w:pStyle w:val="Heading1"/>
        <w:spacing w:after="180" w:before="320"/>
      </w:pPr>
      <w:r>
        <w:rPr>
          <w:b/>
          <w:bCs/>
          <w:color w:val="1F4E79"/>
          <w:sz w:val="36"/>
          <w:szCs w:val="36"/>
        </w:rPr>
        <w:t xml:space="preserve">Видеопамять карт из списка закупки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2933700"/>
            <wp:effectExtent t="0" r="0" b="0" l="0"/>
            <wp:docPr id="1" name="02_gpu_capacity.png" descr="Видеопамять одной карты каждого типа" title="Видеопамять одной карты каждого тип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40"/>
        <w:jc w:val="center"/>
      </w:pPr>
      <w:r>
        <w:rPr>
          <w:color w:val="555555"/>
          <w:sz w:val="20"/>
          <w:szCs w:val="20"/>
        </w:rPr>
        <w:t xml:space="preserve">Видеопамять одной карты каждого типа</w:t>
      </w:r>
    </w:p>
    <w:p>
      <w:pPr>
        <w:pStyle w:val="Heading1"/>
        <w:spacing w:after="180" w:before="320"/>
      </w:pPr>
      <w:r>
        <w:rPr>
          <w:b/>
          <w:bCs/>
          <w:color w:val="1F4E79"/>
          <w:sz w:val="36"/>
          <w:szCs w:val="36"/>
        </w:rPr>
        <w:t xml:space="preserve">Требования видеопамяти по моделям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2933700"/>
            <wp:effectExtent t="0" r="0" b="0" l="0"/>
            <wp:docPr id="1" name="01_model_vram.png" descr="Требование VRAM по моделям и сравнение с доступными картами" title="Требование VRAM по моделям и сравнение с доступными карта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40"/>
        <w:jc w:val="center"/>
      </w:pPr>
      <w:r>
        <w:rPr>
          <w:color w:val="555555"/>
          <w:sz w:val="20"/>
          <w:szCs w:val="20"/>
        </w:rPr>
        <w:t xml:space="preserve">Требование VRAM по моделям и сравнение с доступными картами</w:t>
      </w:r>
    </w:p>
    <w:p>
      <w:pPr>
        <w:pStyle w:val="Heading1"/>
        <w:spacing w:after="180" w:before="320"/>
      </w:pPr>
      <w:r>
        <w:rPr>
          <w:b/>
          <w:bCs/>
          <w:color w:val="1F4E79"/>
          <w:sz w:val="36"/>
          <w:szCs w:val="36"/>
        </w:rPr>
        <w:t xml:space="preserve">Констатации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Видеопамять — определяющий параметр. Недостаток VRAM делает карту бесполезной независимо от её вычислительной мощности.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Потребительские карты без NVLink теряют 15–30 % производительности в multi-GPU режиме. Четыре RTX 4090 не равны одной карте с 96 ГБ.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Серверные AMD Instinct MI300X имеют прямую поддержку ROCm 7.0, vLLM, SGLang в виде официальных Docker-контейнеров.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Серверные AMD MI210 и MI250 (архитектура CDNA 2, 2021 года) исключены из свежих prebuilt решений. Срок активной поддержки — 12–18 месяцев.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3 пользователя × 20–50 обращений агента в минуту = 60–150 запросов/мин. Серверная программа-балансировщик (vLLM/SGLang с continuous batching) обеспечивает предсказуемую задержку.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QLoRA-дообучение 7–14 B моделей требует 8–16 ГБ VRAM; все рекомендуемые конфигурации это покрывают.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Ubuntu 24.04 LTS + Docker + vLLM (или его ROCm-версия) = стандартный production-стек.</w:t>
      </w:r>
    </w:p>
    <w:p>
      <w:pPr>
        <w:pStyle w:val="Heading1"/>
        <w:spacing w:after="180" w:before="320"/>
      </w:pPr>
      <w:r>
        <w:rPr>
          <w:b/>
          <w:bCs/>
          <w:color w:val="1F4E79"/>
          <w:sz w:val="36"/>
          <w:szCs w:val="36"/>
        </w:rPr>
        <w:t xml:space="preserve">Риски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Закупка MI210/MI250: через 12–18 месяцев прекратятся обновления prebuilt-контейнеров AMD.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Закупка ≥ 4 потребительских карт: требует специализированного корпуса, двух блоков питания, сертифицированной платформы Threadripper Pro. Рекомендуется готовая сборка.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Серверные карты AMD Instinct (MI300X, MI350) требуют OEM-платформу (Dell / Supermicro / HPE). Не устанавливаются в обычные workstation-корпуса.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Производство RTX 4090 завершено в 2025 году. При заказе 4 одинаковых карт возможны задержки поставки.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Включение GLM-5.1 в программу тестирования потребует кластерной инфраструктуры вне рамок одной рабочей станции.</w:t>
      </w:r>
    </w:p>
    <w:p>
      <w:pPr>
        <w:pStyle w:val="Heading1"/>
        <w:spacing w:after="180" w:before="320"/>
      </w:pPr>
      <w:r>
        <w:rPr>
          <w:b/>
          <w:bCs/>
          <w:color w:val="1F4E79"/>
          <w:sz w:val="36"/>
          <w:szCs w:val="36"/>
        </w:rPr>
        <w:t xml:space="preserve">Рабочие сборки по уровням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Ниже — пять реалистичных сборок, покрывающих задачу в разной степени. Выбор определяется: доступностью конкретных GPU на рынке в момент закупки, форматом инфраструктуры (рабочая станция под столом vs серверный рэк), горизонтом планирования (6 месяцев vs 3+ года), бюджетом (не обсуждается в этом документе).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Сборка A. Бюджетная мульти-GPU workstation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default">GPU: 4 × NVIDIA RTX 5060 Ti 16 ГБ (суммарно 64 ГБ).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Компонент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Характеристика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Процессор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AMD Threadripper Pro 7965WX (24 ядра, 128 PCIe 5.0 lanes)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ОЗУ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128–256 ГБ DDR5 ECC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Материнская плата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WRX90 с 4 × PCIe 5.0 x16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Системный диск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 × 2 ТБ NVMe (RAID 1)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Диск для моделей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 × 4 ТБ NVMe (RAID 1)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Блок питания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 × 1500 Вт Titanium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Корпус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Full-tower (Fractal Design Define 7 XL) или готовая сборка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Охлаждение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Воздушное, 8+ вентиляторов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ОС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Ubuntu 24.04 LTS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Программный стек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vLLM 0.9+ в Docker</w:t>
            </w:r>
          </w:p>
        </w:tc>
      </w:tr>
    </w:tbl>
    <w:p>
      <w:pPr>
        <w:spacing w:after="100"/>
        <w:jc w:val="both"/>
      </w:pPr>
      <w:r>
        <w:rPr>
          <w:color w:val="1A1A1A"/>
          <w:sz w:val="22"/>
          <w:szCs w:val="22"/>
        </w:rPr>
        <w:t xml:space="default">Что покрывает: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Инференс моделей до 20 B для 8–10 одновременных пользователей.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Инференс qwen3.6-35B-A3B через expert parallelism с ограничением контекста до 16К токенов.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QLoRA-дообучение 7 B моделей на одной из карт.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default">Что не покрывает: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LoRA / QLoRA моделей 14 B и крупнее.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Инференс 70 B моделей без существенной потери производительности.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GLM-5.1 ни в какой квантизации.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default">Особенности: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Нет NVLink — tensor parallelism через PCIe теряет 25–40 %.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Предпочтительные режимы: pipeline parallel для dense, expert parallel для MoE.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Подходит как первая серверная установка с возможностью заменить карты на более мощные позже.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Сборка B. Средняя мульти-GPU workstation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default">GPU: 4 × NVIDIA RTX 5080 16 ГБ (суммарно 64 ГБ).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Компонент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Характеристика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Процессор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AMD Threadripper Pro 7965WX (24 ядра, 128 PCIe 5.0 lanes)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ОЗУ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256 ГБ DDR5 ECC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Материнская плата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WRX90 с 4 × PCIe 5.0 x16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Системный диск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 × 2 ТБ NVMe (RAID 1)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Диск для моделей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4 × 4 ТБ NVMe (RAID 10)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Блок питания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 × 1600 Вт Titanium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Корпус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Full-tower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Охлаждение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Воздушное усиленное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ОС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Ubuntu 24.04 LTS</w:t>
            </w:r>
          </w:p>
        </w:tc>
      </w:tr>
    </w:tbl>
    <w:p>
      <w:pPr>
        <w:spacing w:after="100"/>
        <w:jc w:val="both"/>
      </w:pPr>
      <w:r>
        <w:rPr>
          <w:color w:val="1A1A1A"/>
          <w:sz w:val="22"/>
          <w:szCs w:val="22"/>
        </w:rPr>
        <w:t xml:space="default">Что покрывает: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Та же функциональность, что сборка 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Плюс 30 % производительности за счёт более быстрой памяти (960 ГБ/с против 448 у 5060 Ti).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До 10–12 одновременных пользователей на 14 B моделях через vLLM.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default">Что не покрывает: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То же, что в сборке A — ограничения потолка 16 ГБ на карту остаются.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default">Особенности: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Разумный выбор, если RTX 5060 Ti дешевле незначительно, а прирост 30 % критичен.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Те же требования к платформе и охлаждению, что сборка A.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Сборка C. Workstation среднего класса (актуальные карты 24 ГБ)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default">GPU: 4 × NVIDIA RTX 4090 24 ГБ (суммарно 96 ГБ).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Компонент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Характеристика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Процессор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AMD Threadripper Pro 7965WX (24 ядра)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ОЗУ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256 ГБ DDR5 ECC RDIMM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Материнская плата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ASUS WRX90 (7 × PCIe 5.0 x16)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Системный диск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 × 2 ТБ Samsung 990 Pro (RAID 1)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Диск для моделей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4 × 4 ТБ WD Black SN850X (RAID 10, 8 ТБ полезно)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Сеть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Intel X550 10 GbE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Блок питания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 × Corsair AX1600i (суммарно 3200 Вт)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Корпус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Fractal Define 7 XL или готовая сборка Bizon / Exxact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Охлаждение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Воздушное, 8+ вентиляторов, отдельные шахты для GPU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ОС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Ubuntu 24.04 LTS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Программный стек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vLLM 0.9+, NVIDIA 560.xx + CUDA 12.6</w:t>
            </w:r>
          </w:p>
        </w:tc>
      </w:tr>
    </w:tbl>
    <w:p>
      <w:pPr>
        <w:spacing w:after="100"/>
        <w:jc w:val="both"/>
      </w:pPr>
      <w:r>
        <w:rPr>
          <w:color w:val="1A1A1A"/>
          <w:sz w:val="22"/>
          <w:szCs w:val="22"/>
        </w:rPr>
        <w:t xml:space="default">Что покрывает: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Инференс всех заявленных моделей кроме GLM-5.1 для 14–16 одновременных пользователей.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LoRA-дообучение моделей 14 B на одной карте.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QLoRA над моделями до 35 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Инференс 70 B моделей в Q4 через tensor parallelism.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default">Что не покрывает: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GLM-5.1 ни в какой квантизации (требует 380 ГБ).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default">Особенности: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RTX 4090 снята с производства в 2025 году — возможны задержки поставки.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Как и все потребительские варианты — нет NVLink, коммуникации через PCIe.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Классическая AI-workstation, хорошо документирована (Bizon-Tech, Exxact, Lambda Labs).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Сборка D. Потребительский оптимум на новейшем поколении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default">GPU: 2 × NVIDIA RTX 5090 32 ГБ (суммарно 64 ГБ).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Компонент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Характеристика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Процессор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AMD Threadripper 7970X (32 ядра) или Threadripper Pro 7955WX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ОЗУ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128–256 ГБ DDR5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Материнская плата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TRX50 / WRX90 с 2 × PCIe 5.0 x16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Системный диск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 × 2 ТБ NVMe Gen5 (RAID 1)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Диск для моделей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 × 8 ТБ NVMe Gen5 (RAID 1)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Сеть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10 GbE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Блок питания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 × 1500 Вт Titanium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Корпус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Big-tower или mid-tower с хорошей продувкой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Охлаждение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Воздушное, 6 вентиляторов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ОС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Ubuntu 24.04 LTS</w:t>
            </w:r>
          </w:p>
        </w:tc>
      </w:tr>
    </w:tbl>
    <w:p>
      <w:pPr>
        <w:spacing w:after="100"/>
        <w:jc w:val="both"/>
      </w:pPr>
      <w:r>
        <w:rPr>
          <w:color w:val="1A1A1A"/>
          <w:sz w:val="22"/>
          <w:szCs w:val="22"/>
        </w:rPr>
        <w:t xml:space="default">Что покрывает: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Инференс всех моделей кроме GLM-5.1 для 12–14 пользователей.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LoRA и QLoRA моделей до 14 B на одной карте.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QLoRA моделей до 35 B через распределение между двумя картами.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Инференс 70 B моделей в Q4 через tensor parallelism.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default">Что не покрывает: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GLM-5.1 ни в какой квантизации.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Масштаб до 20+ одновременных пользователей.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default">Особенности: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Вдвое меньше карт чем в сборке C, при сопоставимой суммарной VRAM (64 vs 96 ГБ).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Проще сборка: один блок питания 1500 Вт, стандартный Threadripper.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Свежая архитектура Blackwell — нативный FP8, GDDR7 1792 ГБ/с на карту.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По скорости инференса на одну карту — лучше 4 × RTX 4090 без TP overhead.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Рекомендуется как основной потребительский вариант, если инфраструктура не допускает серверный рэк.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Сборка E. Серверное решение AMD Instinct (если доступно)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default">GPU: 1 × AMD Instinct MI300X 192 ГБ HBM3 (опционально расширение до 2 карт).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Компонент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Характеристика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Платформа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Dell PowerEdge XE9680 / Supermicro AS-8125GS-TNMR2 / HPE Cray XD675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Процессор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 × AMD EPYC 9354 (64 ядра суммарно)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ОЗУ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512 ГБ DDR5 ECC RDIMM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Системный диск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 × 3.84 ТБ Samsung PM9A3 NVMe (RAID 1)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Диск для моделей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4 × 7.68 ТБ Samsung PM9A3 NVMe (RAID 10, 15.36 ТБ полезно)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Сеть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 × Mellanox ConnectX-6 25 GbE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Блок питания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4 × 2000 Вт 80+ Platinum (N+N)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Корпус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4U rack-mount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Охлаждение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Серверное стоечное, холодный коридор ≤ 22 °C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ОС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Ubuntu 24.04 LTS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Программный стек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ROCm 7.0 + vLLM 0.9+ (AMD контейнер rocm/vllm:rocm7.0_vllm_mi300x)</w:t>
            </w:r>
          </w:p>
        </w:tc>
      </w:tr>
    </w:tbl>
    <w:p>
      <w:pPr>
        <w:spacing w:after="100"/>
        <w:jc w:val="both"/>
      </w:pPr>
      <w:r>
        <w:rPr>
          <w:color w:val="1A1A1A"/>
          <w:sz w:val="22"/>
          <w:szCs w:val="22"/>
        </w:rPr>
        <w:t xml:space="default">Что покрывает: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Инференс всех заявленных моделей кроме GLM-5.1 для 25–30 одновременных пользователей.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LoRA / QLoRA моделей до 70 B на одной карте.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При расширении до 2 × MI300X (384 ГБ) — GLM-5.1 в квантизации INT4 становится доступна.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Параллельное выполнение инференса и дообучения в одной машине.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default">Что не покрывает: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Не вписывается в обычный офис / open-space — требует серверного помещения.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Одна карта MI300X — не распределяется по сценариям tensor parallelism.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default">Особенности: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192 ГБ HBM3 в одной карте — рекордная плотность видеопамяти.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Bandwidth памяти 5.3 ТБ/с — втрое выше RTX 5090.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Активная поддержка AMD до 2028–2029 гг.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Требует OEM-платформу — закупка через корпоративные каналы. На потребительском рынке недоступно.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Оправдано при наличии серверного помещения с кондиционированием, горизонта 3+ года, перспективы 20+ пользователей.</w:t>
      </w:r>
    </w:p>
    <w:p>
      <w:pPr>
        <w:pStyle w:val="Heading1"/>
        <w:spacing w:after="180" w:before="320"/>
      </w:pPr>
      <w:r>
        <w:rPr>
          <w:b/>
          <w:bCs/>
          <w:color w:val="1F4E79"/>
          <w:sz w:val="36"/>
          <w:szCs w:val="36"/>
        </w:rPr>
        <w:t xml:space="preserve">Сопоставление сборок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92"/>
        <w:gridCol w:w="1392"/>
        <w:gridCol w:w="1392"/>
        <w:gridCol w:w="1392"/>
        <w:gridCol w:w="1392"/>
      </w:tblGrid>
      <w:tr>
        <w:trPr>
          <w:tblHeader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Критерий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A (4×5060Ti)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B (4×5080)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C (4×4090)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D (2×5090)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E (1×MI300X)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VRAM, ГБ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64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64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96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64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192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Польз. одновр.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8–10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10–12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14–16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12–14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25–30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LoRA 14 B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нет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 карта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LoRA 35 B (QLoRA)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нет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нет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LoRA 70 B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нет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нет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нет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нет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GLM-5.1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нет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нет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нет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нет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только 2 карты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Форм-фактор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Workstation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Workstation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Workstation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Workstation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Серверный рэк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NVLink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нет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нет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нет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нет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HBM3 единая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Доступность GPU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Высокая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Высокая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Остатки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Высокая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Через OEM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Срок поддержки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3–4 года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3–4 года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3–4 года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4–5 лет</w:t>
            </w:r>
          </w:p>
        </w:tc>
        <w:tc>
          <w:tcPr>
            <w:tcW w:type="dxa" w:w="1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4–5 лет</w:t>
            </w:r>
          </w:p>
        </w:tc>
      </w:tr>
    </w:tbl>
    <w:p>
      <w:pPr>
        <w:pStyle w:val="Heading1"/>
        <w:spacing w:after="180" w:before="320"/>
      </w:pPr>
      <w:r>
        <w:rPr>
          <w:b/>
          <w:bCs/>
          <w:color w:val="1F4E79"/>
          <w:sz w:val="36"/>
          <w:szCs w:val="36"/>
        </w:rPr>
        <w:t xml:space="preserve">Рекомендация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default">Если инфраструктура допускает серверный рэк 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и доступна закупка через OEM — предпочтителен вариант E (1 × MI300X). Одна карта покрывает все задачи с запасом на рост до 3+ лет.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default">Если серверный рэк не вписывается в офис 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или карты AMD Instinct недоступны по каналам снабжения — предпочтителен вариант D (2 × RTX 5090). Самый компактный потребительский вариант, покрывающий задачу на 1.5–2 года.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default">Варианты A и B (4 × RTX 5060 Ti / 5080) 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пригодны как первая серверная установка с ограниченным бюджетом и пониманием что через 12–18 месяцев потребуется апгрейд.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default">Вариант C (4 × RTX 4090) 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— классическая проверенная конфигурация, но RTX 4090 сняты с производства; закупка возможна только из остатков складов.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default">Варианты MI210 / MI250 / MI350 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— не рекомендуются: первые два теряют программную поддержку, третий избыточен для заявленной задачи.</w:t>
      </w:r>
    </w:p>
    <w:sectPr>
      <w:footerReference w:type="default" r:id="rId7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55555"/>
        <w:sz w:val="18"/>
        <w:szCs w:val="18"/>
      </w:rPr>
      <w:t xml:space="preserve">Страница </w:t>
    </w:r>
    <w:r>
      <w:rPr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55555"/>
        <w:sz w:val="18"/>
        <w:szCs w:val="18"/>
      </w:rPr>
      <w:t xml:space="preserve"> из </w:t>
    </w:r>
    <w:r>
      <w:rPr>
        <w:color w:val="55555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2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1A1A1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4f8f6d340930c7645044a405bbe13fc6ee83d4b.png"/><Relationship Id="rId9" Type="http://schemas.openxmlformats.org/officeDocument/2006/relationships/image" Target="media/e7278aca41670200a1ff0cf499656403eb30e48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LLM Hardware Brief — 2026-04-22</dc:title>
  <dc:creator>DSP-GPU R&amp;D</dc:creator>
  <cp:lastModifiedBy>Un-named</cp:lastModifiedBy>
  <cp:revision>1</cp:revision>
  <dcterms:created xsi:type="dcterms:W3CDTF">2026-04-22T20:46:20.474Z</dcterms:created>
  <dcterms:modified xsi:type="dcterms:W3CDTF">2026-04-22T20:46:20.475Z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