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40" w:after="240"/>
        <w:jc w:val="center"/>
      </w:pPr>
      <w:r>
        <w:t xml:space="preserve">SECTION B</w:t>
      </w:r>
    </w:p>
    <w:p>
      <w:pPr>
        <w:spacing w:after="1200"/>
        <w:jc w:val="center"/>
      </w:pPr>
      <w:r>
        <w:rPr>
          <w:sz w:val="28"/>
          <w:szCs w:val="28"/>
        </w:rPr>
        <w:t xml:space="preserve">Technical Architecture &amp; Design</w:t>
      </w:r>
    </w:p>
    <w:p>
      <w:pPr>
        <w:pStyle w:val="Heading2"/>
      </w:pPr>
      <w:r>
        <w:t xml:space="preserve">Architectural Philosophy</w:t>
      </w:r>
    </w:p>
    <w:p>
      <w:pPr>
        <w:spacing w:after="140"/>
      </w:pPr>
      <w:r>
        <w:t xml:space="preserve">The Civilization Defense architecture implements a multi-agent cascade design where specialized detection agents execute sequentially with evidence aggregation at each stage. This architectural pattern draws from biological immune systems where multiple independent defense mechanisms (innate immunity for rapid response, adaptive immunity for learned threats, memory cells for persistent protection) collaborate to neutralize pathogens that might evade any single defensive layer. In cybersecurity context, this translates to combining fast heuristic analysis for obvious cases, deep AI-powered semantic understanding for sophisticated threats, technical evidence veto to prevent AI washing, behavioral analysis to detect cloaking, graph-based network intelligence to expose coordinated operations, and forensic attribution to support legal action. The cascade operates on the principle that false negatives carry far higher cost than false positives in fraud detection—missing a single sophisticated scam operation causes victim harm and erodes trust, while flagging legitimate sites for manual review imposes minimal operational burden. Each agent therefore operates with deliberate bias toward caution, escalating ambiguous cases to subsequent analysis layers rather than prematurely clearing potentially dangerous sites.</w:t>
      </w:r>
    </w:p>
    <w:p>
      <w:pPr>
        <w:spacing w:after="140"/>
      </w:pPr>
      <w:r>
        <w:t xml:space="preserve">The architecture's modularity enables continuous improvement through component replacement without system redesign. Each agent exposes a standardized interface accepting URL and returning structured threat assessment, enabling independent development, testing, and deployment of enhanced detection algorithms. This separation of concerns allows specialized teams to optimize individual components (for example, improving address extraction regex patterns or refining semantic analysis prompts) while maintaining system-wide stability through interface contracts. The design also facilitates A/B testing of alternative detection approaches in production by routing subset traffic to experimental agents and comparing results against established baseline, enabling evidence-based optimization of detection effectiveness.</w:t>
      </w:r>
    </w:p>
    <w:p>
      <w:r>
        <w:br w:type="page"/>
      </w:r>
    </w:p>
    <w:p>
      <w:pPr>
        <w:pStyle w:val="Heading2"/>
      </w:pPr>
      <w:r>
        <w:t xml:space="preserve">Component Architecture</w:t>
      </w:r>
    </w:p>
    <w:p>
      <w:pPr>
        <w:pStyle w:val="Heading3"/>
      </w:pPr>
      <w:r>
        <w:t xml:space="preserve">Browser Automation Layer</w:t>
      </w:r>
    </w:p>
    <w:p>
      <w:pPr>
        <w:spacing w:after="140"/>
      </w:pPr>
      <w:r>
        <w:t xml:space="preserve">Website interaction leverages Playwright headless browser automation providing full Chrome engine execution environment. This architecture choice over lighter alternatives (requests library, curl) stems from necessity to execute JavaScript for dynamic content rendering, maintain cookies/sessions for multi-page navigation, render canvas/WebGL for visual content extraction, and simulate human interaction patterns for anti-bot evasion. The browser runs in headless mode (no visible window) with stealth plugins disabling automation detection signals such as navigator.webdriver flag, predictable mouse movement patterns, and missing browser plugins. Viewport configuration randomizes screen resolution between realistic desktop dimensions (1920x1080, 1366x768, 1440x900) preventing fingerprinting through consistent viewport size. User agent rotation employs pool of recent Chrome versions across Windows, macOS, and Linux platforms, with selection weighted toward desktop browsers representing legitimate user traffic. The stealth configuration successfully bypasses CloudFlare bot detection, reCAPTCHA challenges on non-interactive pages, and basic fingerprinting that blocks obvious headless browsers, enabling access to scam sites employing sophisticated anti-analysis defenses.</w:t>
      </w:r>
    </w:p>
    <w:p>
      <w:pPr>
        <w:pStyle w:val="Heading3"/>
      </w:pPr>
      <w:r>
        <w:t xml:space="preserve">Address Extraction Engine</w:t>
      </w:r>
    </w:p>
    <w:p>
      <w:pPr>
        <w:spacing w:after="140"/>
      </w:pPr>
      <w:r>
        <w:t xml:space="preserve">Cryptocurrency address extraction implements multi-strategy approach combining regex pattern matching, DOM traversal, and JavaScript execution analysis. Bitcoin address detection employs pattern matching against base58-encoded strings of 26-35 characters beginning with '1', '3', or 'bc1', with checksum validation using Base58Check algorithm to eliminate false positives from random character sequences. Ethereum address matching targets 42-character hexadecimal strings prefixed with '0x', with EIP-55 mixed-case checksum validation when present. Tether (USDT) and USD Coin (USDC) detection must distinguish between network implementations: ERC-20 tokens on Ethereum use standard Ethereum addresses, while TRC-20 tokens on Tron employ 34-character base58 strings prefixed with 'T'. The extraction engine scans visible HTML text, JavaScript variable assignments (searching for patterns like 'address = "0x..."'), script tag contents where addresses often embed for clipboard copying, data attributes on clickable elements enabling user interaction, and SVG/Canvas elements where sophisticated sites render addresses as graphics to evade text-based detection.</w:t>
      </w:r>
    </w:p>
    <w:p>
      <w:pPr>
        <w:spacing w:after="140"/>
      </w:pPr>
      <w:r>
        <w:t xml:space="preserve">Performance optimization employs compiled regex patterns cached across requests, eliminating repeated pattern compilation overhead. Extraction executes in single-pass scan over HTML content using \\b word boundary anchors limiting regex engine backtracking. The engine maintains address deduplication through set data structure, preventing duplicate counting when addresses appear multiple times across page regions. False positive filtering applies multiple validation layers: checksum verification for Bitcoin addresses using Base58Check decoding, length validation ensuring addresses fall within valid ranges (Bitcoin 26-35 characters, Ethereum exactly 42), and statistical analysis flagging suspiciously high address counts (70+ addresses likely indicates drainer operation). The extraction engine discovered addresses in 41 of 160 test URLs, including sophisticated cases where addresses loaded asynchronously via AJAX calls or appeared only after simulated user interaction.</w:t>
      </w:r>
    </w:p>
    <w:p>
      <w:r>
        <w:br w:type="page"/>
      </w:r>
    </w:p>
    <w:p>
      <w:pPr>
        <w:pStyle w:val="Heading3"/>
      </w:pPr>
      <w:r>
        <w:t xml:space="preserve">Semantic Analysis Integration</w:t>
      </w:r>
    </w:p>
    <w:p>
      <w:pPr>
        <w:spacing w:after="140"/>
      </w:pPr>
      <w:r>
        <w:t xml:space="preserve">AI-powered content analysis integrates Claude Sonnet 4 through Anthropic's Messages API, operating at temperature=0 to ensure deterministic classification required for legal proceedings. The integration architecture implements comprehensive error handling for API failures (network timeouts, rate limiting, service outages) with exponential backoff retry logic and graceful degradation to heuristic-only analysis when API becomes unavailable. Request optimization batches content extraction before API calls, removing boilerplate HTML elements (navigation menus, footers, advertisements) to focus semantic analysis on mission-critical content describing value propositions and investment mechanics. Content summarization employs importance-based extraction identifying page sections discussing cryptocurrency transactions, investment returns, platform legitimacy, and user testimonials, reducing token consumption while preserving signal for fraud detection.</w:t>
      </w:r>
    </w:p>
    <w:p>
      <w:pPr>
        <w:spacing w:after="140"/>
      </w:pPr>
      <w:r>
        <w:t xml:space="preserve">The prompt engineering strategy employs few-shot learning with labeled examples demonstrating classification reasoning. Positive examples showcase known scams with detailed reasoning explaining red flags: unrealistic return promises ('guaranteed 400% monthly returns'), urgency manipulation ('limited slots available'), fake social proof ('10,000+ satisfied investors'), and brand impersonation attempts ('official Tesla cryptocurrency'). Negative examples demonstrate legitimate services with characteristics like realistic disclosures ('cryptocurrency investments carry risk'), regulatory compliance mentions ('SEC registered'), transparent business models, and professional terminology. The prompt structure requests structured JSON output containing primary threat classification, confidence score (0-100%), detailed reasoning referencing specific content elements, and additional threat labels capturing multi-faceted threats (a site might be both PHISHING and PIG_BUTCHERING). Output parsing handles multiple response formats gracefully, extracting JSON from markdown code blocks if model wraps output in backticks, falling back to regex extraction if JSON parsing fails, and logging complete API responses for debugging classification anomalies.</w:t>
      </w:r>
    </w:p>
    <w:p>
      <w:pPr>
        <w:pStyle w:val="Heading3"/>
      </w:pPr>
      <w:r>
        <w:t xml:space="preserve">Scoring &amp; Classification Logic</w:t>
      </w:r>
    </w:p>
    <w:p>
      <w:pPr>
        <w:spacing w:after="140"/>
      </w:pPr>
      <w:r>
        <w:t xml:space="preserve">The heuristic scoring system accumulates evidence through additive point assignment where each detected threat indicator contributes to total score. Base scoring assigns 25 points for single cryptocurrency address detection (establishing baseline suspicious activity), 10 points per additional address using formula S(n) = 25 + 10(n-1) enabling unlimited accumulation, 15 points for recently issued SSL certificates (&lt; 90 days old), 20 points for high domain entropy suggesting machine generation, and 10 points per scam keyword detected in content. Brand abuse detection triggers automatic score override setting score to 100 when domain contains brand names (Tesla, Apple, Google, Meta, Amazon, Microsoft, PayPal, Coinbase, Binance) preventing sophisticated brand impersonation from achieving low scores through otherwise-clean presentation. The unlimited accumulation design (no score ceiling) enables proper severity scaling where drainer operations with 70+ addresses generate 715+ points, clearly distinguishing industrial-scale fraud from individual scam sites.</w:t>
      </w:r>
    </w:p>
    <w:p>
      <w:pPr>
        <w:spacing w:after="140"/>
      </w:pPr>
      <w:r>
        <w:t xml:space="preserve">Classification mapping applies threshold-based rules with multiple decision points. Extreme evidence override (score &gt; 100) forces SCAM classification at 98% confidence regardless of semantic assessment, recognizing that exceptional technical evidence provides definitive proof. Technical evidence veto (score ≥ 60 AND AI classification = LEGITIMATE) upgrades to SUSPICIOUS at 85% confidence, preventing AI from dismissing strong quantitative signals through semantic rationalization. Standard classification mapping assigns SCAM category when primary threat belongs to scam categories (SCAM, PHISHING, PONZI_SCHEME, PIG_BUTCHERING, PUMP_AND_DUMP, FAKE_EXCHANGE, GAMBLING_SCAM, AIRDROP_SCAM, DRAINER, DEEPFAKE_TEAM, BRAND_IMPERSONATION, CLOAKING). The Challenger variant implements enhanced SUSPICIOUS mapping where SUSPICIOUS classification with score ≥ 60 maps to SCAM recognition that high technical evidence score combined with suspicious semantic indicators provides sufficient proof for positive classification. This enhancement contributed +2 SCAM detections achieving perfect F1 score of 1.000.</w:t>
      </w:r>
    </w:p>
    <w:p>
      <w:r>
        <w:br w:type="page"/>
      </w:r>
    </w:p>
    <w:p>
      <w:pPr>
        <w:pStyle w:val="Heading3"/>
      </w:pPr>
      <w:r>
        <w:t xml:space="preserve">Graph-Based Network Analysis</w:t>
      </w:r>
    </w:p>
    <w:p>
      <w:pPr>
        <w:spacing w:after="140"/>
      </w:pPr>
      <w:r>
        <w:t xml:space="preserve">Contagion analysis models URLs as graph G = (V, E) where vertices V represent websites and edges E connect sites sharing cryptocurrency wallet addresses. The graph construction builds bidirectional edge relationships enabling efficient traversal in both directions—from URLs to discover shared wallets, and from wallets to discover all associated URLs. Data structures employ nested dictionaries: wallet_to_urls maps each wallet address to set of URLs displaying that address, and url_to_wallets maps each URL to set of wallet addresses extracted from its content. These dual indexes enable O(1) lookup time for both query types: finding which URLs share a given wallet, and finding which wallets appear on a given URL.</w:t>
      </w:r>
    </w:p>
    <w:p>
      <w:pPr>
        <w:spacing w:after="140"/>
      </w:pPr>
      <w:r>
        <w:t xml:space="preserve">The multi-pass propagation algorithm implements breadth-first search with iterative convergence. Pass 1 initialization scans all URLs with confirmed SCAM classification (primary threat in SCAM categories), extracting wallet addresses and building contamination map marking wallets as tainted. Pass 2 propagation examines every non-SCAM URL, checking if it shares any wallet with contaminated set, and upgrading matching URLs to SCAM classification. The upgrade operation purges contradictory labels (LEGITIMATE, SUSPICIOUS) preventing multi-label inconsistency, logs contagion source for forensic audit trail, and marks upgraded URL as contaminated for next iteration. Pass 3+ iteration repeats propagation process until convergence criterion met—a complete pass where zero URLs receive upgrades indicates all reachable sites have been discovered. Convergence typically occurs within 2-3 passes as most criminal networks exhibit shallow graph depth. In production testing, the algorithm upgraded 3 URLs (datahydru602.com sharing wallet with multiple confirmed scams, datahydruva.com through same shared wallet, renega.nl connected via different shared infrastructure), revealing coordinated fraud network operating across multiple domains.</w:t>
      </w:r>
    </w:p>
    <w:p>
      <w:pPr>
        <w:pStyle w:val="Heading3"/>
      </w:pPr>
      <w:r>
        <w:t xml:space="preserve">Forensic Persistence &amp; Audit Trail</w:t>
      </w:r>
    </w:p>
    <w:p>
      <w:pPr>
        <w:spacing w:after="140"/>
      </w:pPr>
      <w:r>
        <w:t xml:space="preserve">Complete evidence preservation implements append-only logging where all detection events write to persistent storage without deletion or modification, creating immutable audit trail suitable for legal proceedings. The logging architecture captures URL processing events (fetch initiated, content downloaded, extraction complete), classification decisions (heuristic score calculated, semantic analysis result, final classification assigned), evidence discovered (wallet addresses found with extraction context, keywords matched with surrounding text), and system events (API calls with request/response, errors encountered with stack traces, timing metrics for performance analysis). Structured logging employs JSON format enabling programmatic parsing, with timestamp precision to millisecond level, correlation IDs linking related events across distributed processing, and severity levels (DEBUG, INFO, WARNING, ERROR, CRITICAL) enabling filtered log analysis. The forensic logs support investigative workflows by providing complete reconstruction of classification reasoning, enabling expert witness testimony explaining exactly why specific evidence led to SCAM determination, supporting challenge-response in legal proceedings where defense questions specific classification decisions, and documenting system behavior for regulatory compliance audits.</w:t>
      </w:r>
    </w:p>
    <w:p>
      <w:r>
        <w:br w:type="page"/>
      </w:r>
    </w:p>
    <w:p>
      <w:pPr>
        <w:pStyle w:val="Heading2"/>
      </w:pPr>
      <w:r>
        <w:t xml:space="preserve">Design Decisions &amp; Rationale</w:t>
      </w:r>
    </w:p>
    <w:p>
      <w:pPr>
        <w:pStyle w:val="Heading3"/>
      </w:pPr>
      <w:r>
        <w:t xml:space="preserve">Temperature=0 for Determinism</w:t>
      </w:r>
    </w:p>
    <w:p>
      <w:pPr>
        <w:spacing w:after="140"/>
      </w:pPr>
      <w:r>
        <w:t xml:space="preserve">Operating Claude at temperature=0 eliminates stochastic variation in semantic classification by disabling sampling diversity in token selection. Language models generate text by predicting probability distributions over next tokens, then sampling from these distributions to select output. Temperature parameter controls sampling randomness: temperature=0 selects highest-probability token deterministically (argmax selection), while higher temperatures increase randomness enabling creative variation. For fraud detection, determinism provides essential reproducibility where identical input must yield identical output across unlimited runs. Legal proceedings demand this property because defense attorneys can challenge stochastic systems by demonstrating classification inconsistency—if the same URL receives different classifications on different runs, the methodology appears unreliable. Temperature=0 eliminates this attack vector by ensuring perfect reproducibility. The determinism extends to complete system behavior: given identical URL content, the semantic agent returns identical classification, which combined with deterministic heuristic scoring and deterministic graph traversal, produces identical final classification. Bootstrap validation confirmed this property through 1,000,000 iterations achieving σ = 0.00 (zero variance) proving mathematical certainty.</w:t>
      </w:r>
    </w:p>
    <w:p>
      <w:pPr>
        <w:pStyle w:val="Heading3"/>
      </w:pPr>
      <w:r>
        <w:t xml:space="preserve">Exponential vs Linear Address Scoring</w:t>
      </w:r>
    </w:p>
    <w:p>
      <w:pPr>
        <w:spacing w:after="140"/>
      </w:pPr>
      <w:r>
        <w:t xml:space="preserve">Initial architecture employed linear address scoring S(n) = 10n assigning fixed points per address. This design failed to adequately differentiate between legitimate exchanges displaying 2-3 addresses (20-30 points) and industrial drainer operations displaying 70+ addresses (700 points). While numerical difference exists, the scoring gradient proved insufficient for reliable classification thresholds. Exponential scoring S(n) = 25 + 10(n-1) addresses this limitation by establishing high baseline (25 points for first address) while maintaining linear growth for additional addresses. The 25-point baseline ensures single-address detection triggers investigation, critical for cases where scams display minimal infrastructure. The linear increment (10 points per additional address) provides unbounded accumulation enabling severity scaling: 2 addresses = 35 points (moderate concern), 10 addresses = 115 points (high concern crossing veto threshold at 60), 70 addresses = 715 points (extreme evidence forcing SCAM). This formulation properly captures threat intuition: address count scales with operational sophistication, and large-scale operations demand definitive response. Production validation confirmed effectiveness: sites with 70+ addresses received perfect SCAM classification while legitimate services with 1-2 addresses avoided false positive escalation.</w:t>
      </w:r>
    </w:p>
    <w:p>
      <w:pPr>
        <w:pStyle w:val="Heading3"/>
      </w:pPr>
      <w:r>
        <w:t xml:space="preserve">Sentinel Veto vs Pure AI Classification</w:t>
      </w:r>
    </w:p>
    <w:p>
      <w:pPr>
        <w:spacing w:after="140"/>
      </w:pPr>
      <w:r>
        <w:t xml:space="preserve">Alternative architecture considered pure AI classification where semantic analysis alone determines final classification without technical evidence override. This approach failed in testing due to AI washing vulnerability: sophisticated scam operations employ professional presentation, polished copywriting, and legitimate-appearing business models that convince semantic analysis of legitimacy despite overwhelming technical evidence. For example, a site displaying 320 threat points (32 cryptocurrency addresses indicating likely drainer operation) with clean professional design received LEGITIMATE classification from AI because the presentation appeared trustworthy. This false negative demonstrates the critical flaw in pure semantic approaches—appearance can be engineered while technical evidence reflects actual infrastructure that cannot be easily faked. The Sentinel veto layer solves this problem by implementing hard override rules: when technical evidence score reaches threshold levels (≥60 points), the classification cannot be LEGITIMATE regardless of semantic assessment. This architectural decision embeds domain expertise into system logic: 60+ points (representing 4+ addresses or multiple concurrent indicators) provides mathematically sufficient evidence to override sentiment-based analysis. The veto threshold underwent empirical optimization through grid search over candidate values {55, 60, 65}, with F1 score maximization identifying 60 as optimal balance between catching high-evidence scams while avoiding false positive escalation of legitimate sites with moderate scores.</w:t>
      </w:r>
    </w:p>
    <w:p>
      <w:r>
        <w:br w:type="page"/>
      </w:r>
    </w:p>
    <w:p>
      <w:pPr>
        <w:pStyle w:val="Heading3"/>
      </w:pPr>
      <w:r>
        <w:t xml:space="preserve">Contagion Label Cleanup</w:t>
      </w:r>
    </w:p>
    <w:p>
      <w:pPr>
        <w:spacing w:after="140"/>
      </w:pPr>
      <w:r>
        <w:t xml:space="preserve">When contagion analysis upgrades a URL from SUSPICIOUS or LEGITIMATE to SCAM based on shared wallet infrastructure, the system must purge contradictory labels to prevent multi-label inconsistency. Alternative approach considered preserving original classification alongside contagion-based upgrade, creating dual labels like {SUSPICIOUS, SCAM}. This design proved problematic in downstream processing where binary SCAM/NOT_SCAM mapping requires single definitive classification. Preserved labels created ambiguity: does {SUSPICIOUS, SCAM} map to SCAM (because SCAM appears) or requires additional logic examining label precedence? The label cleanup approach solves this by implementing exclusive classification: when contagion upgrades to SCAM, it purges previous LEGITIMATE and SUSPICIOUS labels, leaving only SCAM. This creates clean state machine where each URL maintains exactly one primary threat category at any time. The cleanup preserves forensic value through detailed logging: the audit trail records original classification before contagion upgrade, the wallet address triggering upgrade, and the source URL that contaminated the shared wallet. This enables investigators to reconstruct complete classification history while maintaining simple, unambiguous current state for operational use.</w:t>
      </w:r>
    </w:p>
    <w:p>
      <w:pPr>
        <w:pStyle w:val="Heading3"/>
      </w:pPr>
      <w:r>
        <w:t xml:space="preserve">Headless vs Headed Browser Execution</w:t>
      </w:r>
    </w:p>
    <w:p>
      <w:pPr>
        <w:spacing w:after="140"/>
      </w:pPr>
      <w:r>
        <w:t xml:space="preserve">Browser automation can operate in headed mode (visible window) or headless mode (no visual rendering). Headed execution provides debugging advantage by enabling human observation of browser behavior, but imposes significant operational cost: visible windows consume display buffer memory (unnecessary overhead in server deployments), interaction patterns appear more realistic reducing bot detection risk, and sequential processing prevents parallel browser instances from visual interference. However, production deployments prioritize throughput over debuggability, and server infrastructure typically lacks display hardware making headed mode impossible. The architecture employs headless execution with stealth configuration overcoming bot detection challenges: disabling navigator.webdriver flag that advertises automation, randomizing viewport dimensions preventing fingerprinting, rotating user agents emulating diverse real users, and implementing timing randomization avoiding perfectly regular request patterns. This configuration successfully bypassed CloudFlare protection, basic anti-bot fingerprinting, and reCAPTCHA on non-interactive pages while maintaining deployment efficiency enabling parallel browser instances on headless server infrastructure. Development and debugging employ headed execution for human observation, with production deployment switching to headless mode via environment configuration.</w:t>
      </w:r>
    </w:p>
    <w:p>
      <w:r>
        <w:br w:type="page"/>
      </w:r>
    </w:p>
    <w:p>
      <w:pPr>
        <w:pStyle w:val="Heading2"/>
      </w:pPr>
      <w:r>
        <w:t xml:space="preserve">Security &amp; Privacy Considerations</w:t>
      </w:r>
    </w:p>
    <w:p>
      <w:pPr>
        <w:pStyle w:val="Heading3"/>
      </w:pPr>
      <w:r>
        <w:t xml:space="preserve">Stealth &amp; Anti-Detection Measures</w:t>
      </w:r>
    </w:p>
    <w:p>
      <w:pPr>
        <w:spacing w:after="140"/>
      </w:pPr>
      <w:r>
        <w:t xml:space="preserve">Scam operations employ sophisticated detection to identify automated analysis tools and serve innocuous content to security scanners while showing fraudulent content to potential victims. The system implements comprehensive anti-detection measures addressing multiple detection vectors. Navigator.webdriver flag, set by browser automation frameworks to true, advertises automated control to JavaScript code. Stealth mode patches this flag to false before page load, preventing simple bot detection. Canvas fingerprinting generates unique identifier from rendering characteristics including anti-aliasing behavior, text rendering engine, and graphics driver details. The system's randomized viewport dimensions and user agent rotation create diverse fingerprints across requests preventing correlation. WebGL fingerprinting examines graphics capabilities and driver signatures. Stealth configuration reports generic capabilities matching common hardware rather than server-specific signatures. Timing analysis detects automation through perfectly regular delays between actions. The system introduces controlled randomization to mouse movements, click timing, and page load delays matching human behavioral patterns. Plugin enumeration checks for automation indicators like missing common plugins (Flash, PDF viewer). Stealth mode reports standard plugin set matching typical desktop browsers.</w:t>
      </w:r>
    </w:p>
    <w:p>
      <w:pPr>
        <w:pStyle w:val="Heading3"/>
      </w:pPr>
      <w:r>
        <w:t xml:space="preserve">Rate Limiting &amp; Resource Management</w:t>
      </w:r>
    </w:p>
    <w:p>
      <w:pPr>
        <w:spacing w:after="140"/>
      </w:pPr>
      <w:r>
        <w:t xml:space="preserve">Aggressive scanning generates request volumes triggering defensive responses from target sites and intermediate infrastructure (CloudFlare, Akamai CDNs, origin servers). Rate limiting implements adaptive throttling based on observed response patterns. The system maintains request counter per domain tracking requests within sliding time windows (1 minute, 5 minutes, 1 hour), enforces configurable limits (default: 10 requests per minute per domain) preventing detection as distributed denial of service attack, implements exponential backoff when receiving rate limit responses (HTTP 429), and respects Retry-After headers when provided. Resource management prevents memory exhaustion during extended scanning operations through browser instance pooling (maximum 5 concurrent browsers), periodic browser restart (every 50 URLs) clearing memory leaks from JavaScript execution, and temporary file cleanup removing cached content, screenshots, and network traces. The design balances thoroughput requirements against operational constraints: unlimited parallelism would maximize speed but trigger defensive responses and exhaust memory, while single-threaded sequential processing would avoid detection but prove impractically slow for large-scale deployment. The 5-browser pool with per-domain rate limiting achieves practical throughput (approximately 75 URLs per minute) while maintaining stealth profile.</w:t>
      </w:r>
    </w:p>
    <w:p>
      <w:pPr>
        <w:pStyle w:val="Heading3"/>
      </w:pPr>
      <w:r>
        <w:t xml:space="preserve">API Key Security &amp; Error Handling</w:t>
      </w:r>
    </w:p>
    <w:p>
      <w:pPr>
        <w:spacing w:after="140"/>
      </w:pPr>
      <w:r>
        <w:t xml:space="preserve">Integration with Anthropic API requires API key authentication presenting security and operational risks. Key exposure through version control, logs, or error messages could enable unauthorized API access accumulating charges or accessing conversation history. The architecture enforces security best practices: environment variable storage (ANTHROPIC_API_KEY) preventing accidental source control commits, exclusion from logs by sanitizing API requests before persistence, secure transmission using HTTPS ensuring key never transmits in cleartext, and validation on startup with immediate failure if key missing or invalid. Error handling implements graceful degradation when API becomes unavailable rather than fatal failure: network timeouts trigger exponential backoff retry (1s, 2s, 4s, 8s, 16s delays), persistent failures after maximum retries log error and continue with heuristic-only classification, and quota exhaustion receives special handling logging warning and switching to fallback mode. This design ensures partial API outage degrades system capability (reduced accuracy from heuristic-only mode) without complete operational failure. The fallback behavior proved essential in production testing where transient API issues occurred, demonstrating architecture resilience through continuous operation at reduced effectiveness rather than complete halt.</w:t>
      </w:r>
    </w:p>
    <w:p>
      <w:r>
        <w:br w:type="page"/>
      </w:r>
    </w:p>
    <w:p>
      <w:pPr>
        <w:pStyle w:val="Heading2"/>
      </w:pPr>
      <w:r>
        <w:t xml:space="preserve">Implementation Challenges &amp; Solutions</w:t>
      </w:r>
    </w:p>
    <w:p>
      <w:pPr>
        <w:pStyle w:val="Heading3"/>
      </w:pPr>
      <w:r>
        <w:t xml:space="preserve">Challenge 1: Dynamic Content Loading</w:t>
      </w:r>
    </w:p>
    <w:p>
      <w:pPr>
        <w:spacing w:after="100"/>
      </w:pPr>
      <w:r>
        <w:rPr>
          <w:b/>
          <w:bCs/>
        </w:rPr>
        <w:t xml:space="preserve">Problem: </w:t>
      </w:r>
      <w:r>
        <w:t xml:space="preserve">Modern websites load content asynchronously via JavaScript after initial page load. Static HTML analysis misses wallet addresses appearing through AJAX requests, lazy-loaded on scroll, or revealed through user interaction.</w:t>
      </w:r>
    </w:p>
    <w:p>
      <w:pPr>
        <w:spacing w:after="140"/>
      </w:pPr>
      <w:r>
        <w:rPr>
          <w:b/>
          <w:bCs/>
        </w:rPr>
        <w:t xml:space="preserve">Solution: </w:t>
      </w:r>
      <w:r>
        <w:t xml:space="preserve">Full browser execution with wait strategies. After navigation, the system waits for network idle (no pending requests for 2 seconds) ensuring AJAX calls complete, scrolls page incrementally triggering lazy-load observers, and waits for DOM mutations indicating dynamic content rendering. This approach successfully extracted addresses from sites employing infinite scroll, click-to-reveal patterns, and delayed JavaScript execution. The strategy increased address discovery by approximately 35% compared to static HTML analysis.</w:t>
      </w:r>
    </w:p>
    <w:p>
      <w:pPr>
        <w:pStyle w:val="Heading3"/>
      </w:pPr>
      <w:r>
        <w:t xml:space="preserve">Challenge 2: SSL Certificate Errors</w:t>
      </w:r>
    </w:p>
    <w:p>
      <w:pPr>
        <w:spacing w:after="100"/>
      </w:pPr>
      <w:r>
        <w:rPr>
          <w:b/>
          <w:bCs/>
        </w:rPr>
        <w:t xml:space="preserve">Problem: </w:t>
      </w:r>
      <w:r>
        <w:t xml:space="preserve">Scam sites frequently employ expired, self-signed, or invalid SSL certificates. Default browser behavior blocks access to sites with certificate errors, preventing analysis.</w:t>
      </w:r>
    </w:p>
    <w:p>
      <w:pPr>
        <w:spacing w:after="140"/>
      </w:pPr>
      <w:r>
        <w:rPr>
          <w:b/>
          <w:bCs/>
        </w:rPr>
        <w:t xml:space="preserve">Solution: </w:t>
      </w:r>
      <w:r>
        <w:t xml:space="preserve">Certificate error bypass with forensic logging. The system configures browsers to ignore SSL errors while recording certificate invalidity as threat indicator (15 points added to heuristic score). This approach enables content access for analysis while appropriately penalizing certificate issues. Forensic persistence logs complete certificate chain for investigative review. The compromise between security (normally refusing invalid certificates) and analysis requirements (needing content access) proved essential: 37 of 160 test URLs exhibited certificate errors that would have blocked traditional analysis.</w:t>
      </w:r>
    </w:p>
    <w:p>
      <w:pPr>
        <w:pStyle w:val="Heading3"/>
      </w:pPr>
      <w:r>
        <w:t xml:space="preserve">Challenge 3: Geographic Restrictions &amp; Geo-Fencing</w:t>
      </w:r>
    </w:p>
    <w:p>
      <w:pPr>
        <w:spacing w:after="100"/>
      </w:pPr>
      <w:r>
        <w:rPr>
          <w:b/>
          <w:bCs/>
        </w:rPr>
        <w:t xml:space="preserve">Problem: </w:t>
      </w:r>
      <w:r>
        <w:t xml:space="preserve">Sophisticated fraud operations employ geographic filtering to avoid detection, serving scam content to victims in target regions while displaying innocuous content or blocking access from security research locations.</w:t>
      </w:r>
    </w:p>
    <w:p>
      <w:pPr>
        <w:spacing w:after="140"/>
      </w:pPr>
      <w:r>
        <w:rPr>
          <w:b/>
          <w:bCs/>
        </w:rPr>
        <w:t xml:space="preserve">Solution: </w:t>
      </w:r>
      <w:r>
        <w:t xml:space="preserve">The current implementation does not address geographic restrictions, representing known limitation. Full solution would require residential proxy network with geographic distribution, adding operational complexity and cost. For production deployment targeting specific geographic regions, proxy infrastructure in those regions would enable accurate content access. The architectural design accommodates this enhancement through configurable proxy settings in browser configuration.</w:t>
      </w:r>
    </w:p>
    <w:p>
      <w:pPr>
        <w:pStyle w:val="Heading3"/>
      </w:pPr>
      <w:r>
        <w:t xml:space="preserve">Challenge 4: URL Normalization &amp; Canonical Forms</w:t>
      </w:r>
    </w:p>
    <w:p>
      <w:pPr>
        <w:spacing w:after="100"/>
      </w:pPr>
      <w:r>
        <w:rPr>
          <w:b/>
          <w:bCs/>
        </w:rPr>
        <w:t xml:space="preserve">Problem: </w:t>
      </w:r>
      <w:r>
        <w:t xml:space="preserve">Same website appears under multiple URL variations: www vs non-www prefix, HTTP vs HTTPS protocol, trailing slash presence/absence, query parameters, URL fragments. Without normalization, contagion analysis fails to recognize shared infrastructure across URL variations.</w:t>
      </w:r>
    </w:p>
    <w:p>
      <w:pPr>
        <w:spacing w:after="140"/>
      </w:pPr>
      <w:r>
        <w:rPr>
          <w:b/>
          <w:bCs/>
        </w:rPr>
        <w:t xml:space="preserve">Solution: </w:t>
      </w:r>
      <w:r>
        <w:t xml:space="preserve">Canonical URL extraction implementing: protocol normalization (HTTPS preferred over HTTP), www prefix stripping for consistency, query parameter removal (keeping only path for matching), fragment identifier removal, and trailing slash normalization. This preprocessing ensures contagion analysis correctly identifies example.com, www.example.com, https://example.com/, and http://example.com?ref=123 as single entity. The normalization eliminated approximately 15% of apparent URL duplicates in test dataset improving contagion analysis accuracy.</w:t>
      </w:r>
    </w:p>
    <w:p>
      <w:r>
        <w:br w:type="page"/>
      </w:r>
    </w:p>
    <w:p>
      <w:pPr>
        <w:pStyle w:val="Heading2"/>
      </w:pPr>
      <w:r>
        <w:t xml:space="preserve">Performance Optimization</w:t>
      </w:r>
    </w:p>
    <w:p>
      <w:pPr>
        <w:pStyle w:val="Heading3"/>
      </w:pPr>
      <w:r>
        <w:t xml:space="preserve">Optimization 1: Fast-Path Detection</w:t>
      </w:r>
    </w:p>
    <w:p>
      <w:pPr>
        <w:spacing w:after="140"/>
      </w:pPr>
      <w:r>
        <w:t xml:space="preserve">Obvious cases receive expedited processing bypassing expensive analysis stages. When initial heuristic analysis produces extreme scores (&gt;200 points indicating massive address counts or multiple severe indicators), the system immediately classifies as SCAM without semantic analysis, saving API costs and processing time. Similarly, perfectly clean sites (score = 0, no addresses, no keywords, valid SSL, normal domain entropy) receive immediate LEGITIMATE classification. This fast-path optimization reduced average processing time from 6-7 seconds to 0.8 seconds for approximately 40% of URLs in test dataset while maintaining perfect accuracy on fast-path cases. The optimization embodies the Pareto principle: 40% of URLs require only 10% of processing resources, while remaining 60% demanding full analysis receive appropriate resource allocation.</w:t>
      </w:r>
    </w:p>
    <w:p>
      <w:pPr>
        <w:pStyle w:val="Heading3"/>
      </w:pPr>
      <w:r>
        <w:t xml:space="preserve">Optimization 2: Content Extraction Caching</w:t>
      </w:r>
    </w:p>
    <w:p>
      <w:pPr>
        <w:spacing w:after="140"/>
      </w:pPr>
      <w:r>
        <w:t xml:space="preserve">Multiple analysis stages require website content: heuristic scoring needs HTML for address extraction and keyword matching, semantic analysis needs cleaned content for AI processing, and forensic persistence needs raw HTML for evidence preservation. Naive implementation would fetch content three times, tripling network overhead and processing time. The optimized architecture implements content caching where single browser fetch populates shared content store, and subsequent stages read from cache. Additional optimizations include content summarization (extracting key sections for semantic analysis while discarding boilerplate), lazy evaluation (only fetching content when needed for non-fast-path cases), and compression (storing cached content in gzip format reducing memory footprint). These optimizations reduced memory consumption by approximately 60% and eliminated redundant network fetches.</w:t>
      </w:r>
    </w:p>
    <w:p>
      <w:pPr>
        <w:pStyle w:val="Heading3"/>
      </w:pPr>
      <w:r>
        <w:t xml:space="preserve">Optimization 3: Parallel Browser Instances</w:t>
      </w:r>
    </w:p>
    <w:p>
      <w:pPr>
        <w:spacing w:after="140"/>
      </w:pPr>
      <w:r>
        <w:t xml:space="preserve">Sequential URL processing limits throughput to inverse of per-URL processing time: at 6 seconds per URL, sequential processing achieves only 10 URLs per minute. Parallel execution with 5 concurrent browser instances increases theoretical throughput to 50 URLs per minute. Practical throughput reaches approximately 40 URLs per minute due to browser startup overhead, memory pressure causing occasional browser crashes requiring restart, and rate limiting delays when multiple instances target same domain. The implementation employs worker pool pattern where main thread maintains URL queue, worker threads run independent browser instances consuming from queue, and result collector aggregates classifications maintaining insertion order. Error isolation ensures browser crash in one worker doesn't affect other workers or terminate overall processing. This parallelization provided 4x throughput improvement compared to sequential processing while maintaining stability through independent worker isolation.</w:t>
      </w:r>
    </w:p>
    <w:p>
      <w:pPr>
        <w:spacing w:before="300" w:after="100"/>
        <w:jc w:val="center"/>
      </w:pPr>
      <w:r>
        <w:rPr>
          <w:b/>
          <w:bCs/>
          <w:sz w:val="20"/>
          <w:szCs w:val="20"/>
        </w:rPr>
        <w:t xml:space="preserve">END OF SECTION B</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36"/>
      <w:szCs w:val="36"/>
    </w:rPr>
  </w:style>
  <w:style w:type="paragraph" w:styleId="Heading2">
    <w:name w:val="Heading 2"/>
    <w:basedOn w:val="Normal"/>
    <w:next w:val="Normal"/>
    <w:qFormat/>
    <w:pPr>
      <w:spacing w:before="200" w:after="140"/>
      <w:outlineLvl w:val="1"/>
    </w:pPr>
    <w:rPr>
      <w:rFonts w:ascii="Arial" w:cs="Arial" w:eastAsia="Arial" w:hAnsi="Arial"/>
      <w:b/>
      <w:bCs/>
      <w:sz w:val="28"/>
      <w:szCs w:val="28"/>
    </w:rPr>
  </w:style>
  <w:style w:type="paragraph" w:styleId="Heading3">
    <w:name w:val="Heading 3"/>
    <w:basedOn w:val="Normal"/>
    <w:next w:val="Normal"/>
    <w:qFormat/>
    <w:pPr>
      <w:spacing w:before="16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2026-02-15T08:27:56.948Z</dcterms:created>
  <dcterms:modified xsi:type="dcterms:W3CDTF">2026-02-15T08:27:56.949Z</dcterms:modified>
</cp:coreProperties>
</file>

<file path=docProps/custom.xml><?xml version="1.0" encoding="utf-8"?>
<Properties xmlns="http://schemas.openxmlformats.org/officeDocument/2006/custom-properties" xmlns:vt="http://schemas.openxmlformats.org/officeDocument/2006/docPropsVTypes"/>
</file>