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PROPOSTA COMMERCIALE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Offerta in abbonamento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La piattaforma di ordinazione, portafoglio prepagato e gestione del bar aziendale, fornita come servizio: nessuna installazione, nessun server da mantenere, aggiornamenti inclusi.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prezzo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3061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140" w:type="dxa"/>
              <w:bottom w:w="140" w:type="dxa"/>
              <w:left w:w="160" w:type="dxa"/>
              <w:right w:w="12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CONTRIBUTO DI INGRESSO</w:t>
            </w:r>
          </w:p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0F3460"/>
                <w:sz w:val="44"/>
              </w:rPr>
              <w:t>250,00 €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6C757D"/>
                <w:sz w:val="18"/>
              </w:rPr>
              <w:t>una tantum, all'attivazione</w:t>
            </w:r>
          </w:p>
        </w:tc>
        <w:tc>
          <w:tcPr>
            <w:tcW w:type="dxa" w:w="3061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140" w:type="dxa"/>
              <w:bottom w:w="140" w:type="dxa"/>
              <w:left w:w="160" w:type="dxa"/>
              <w:right w:w="12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CANONE MENSILE</w:t>
            </w:r>
          </w:p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0F3460"/>
                <w:sz w:val="44"/>
              </w:rPr>
              <w:t>40,00 €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6C757D"/>
                <w:sz w:val="18"/>
              </w:rPr>
              <w:t>fisso, per singolo locale</w:t>
            </w:r>
          </w:p>
        </w:tc>
        <w:tc>
          <w:tcPr>
            <w:tcW w:type="dxa" w:w="3061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140" w:type="dxa"/>
              <w:bottom w:w="140" w:type="dxa"/>
              <w:left w:w="160" w:type="dxa"/>
              <w:right w:w="12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QUOTA SUGLI INCASSI</w:t>
            </w:r>
          </w:p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0F3460"/>
                <w:sz w:val="44"/>
              </w:rPr>
              <w:t>3,5 %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6C757D"/>
                <w:sz w:val="18"/>
              </w:rPr>
              <w:t>sull'imponibile del venduto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4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>Il contributo di ingresso si paga una volta sola, all'attivazione. Nessun canone di licenza, nessun minimo garantito sulla quota variabile: se un mese non si incassa, si paga il solo canone.</w:t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Su cosa si calcola il 3,5%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La base di calcolo non e una stima concordata: la misura l'applicazione stessa, voce per voce, con un prospetto mensile consultabile in qualsiasi momento.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VOCE</w:t>
            </w:r>
          </w:p>
        </w:tc>
        <w:tc>
          <w:tcPr>
            <w:tcW w:type="dxa" w:w="4649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 COMPRENDE</w:t>
            </w:r>
          </w:p>
        </w:tc>
        <w:tc>
          <w:tcPr>
            <w:tcW w:type="dxa" w:w="181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NEL CALCOLO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Ordini da menu e builder</w:t>
            </w:r>
          </w:p>
        </w:tc>
        <w:tc>
          <w:tcPr>
            <w:tcW w:type="dxa" w:w="464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Ordini completati nel mese, al netto degli annullati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Vendite al banco</w:t>
            </w:r>
          </w:p>
        </w:tc>
        <w:tc>
          <w:tcPr>
            <w:tcW w:type="dxa" w:w="464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Sessioni di pagamento QR effettivamente saldate</w:t>
            </w:r>
          </w:p>
        </w:tc>
        <w:tc>
          <w:tcPr>
            <w:tcW w:type="dxa" w:w="181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Pasti aziendali</w:t>
            </w:r>
          </w:p>
        </w:tc>
        <w:tc>
          <w:tcPr>
            <w:tcW w:type="dxa" w:w="464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Porzioni prenotate e non annullate, al prezzo del menu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Vendite dal cesto</w:t>
            </w:r>
          </w:p>
        </w:tc>
        <w:tc>
          <w:tcPr>
            <w:tcW w:type="dxa" w:w="464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pre-preparati acquistati inquadrando il QR, compresi gli extra aggiunti alla stessa vendita</w:t>
            </w:r>
          </w:p>
        </w:tc>
        <w:tc>
          <w:tcPr>
            <w:tcW w:type="dxa" w:w="181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del portafoglio</w:t>
            </w:r>
          </w:p>
        </w:tc>
        <w:tc>
          <w:tcPr>
            <w:tcW w:type="dxa" w:w="464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denaro caricato non e un incasso finche non si spende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DUE PRECISAZIONI CHE VI CONVENGONO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 quota si applica all'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imponibile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al lordo: dagli incassi viene prima scorporata l'IVA al 10%. Su 1.000 € incassati la base e 909,09 €, non 1.000.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ricariche del portafoglio non sono incassi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quota matura solo quando il credito viene speso, una volta sola e sul consumo reale.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Proiezioni sugli incassi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343A40"/>
          <w:sz w:val="21"/>
        </w:rPr>
        <w:t xml:space="preserve">Tre ipotesi di incasso medio giornaliero, su </w:t>
      </w:r>
      <w:r>
        <w:rPr>
          <w:rFonts w:ascii="Calibri" w:hAnsi="Calibri"/>
          <w:b/>
          <w:i w:val="0"/>
          <w:color w:val="16213E"/>
          <w:sz w:val="21"/>
        </w:rPr>
        <w:t>22 giorni di apertura al mese</w:t>
      </w:r>
      <w:r>
        <w:rPr>
          <w:rFonts w:ascii="Calibri" w:hAnsi="Calibri"/>
          <w:b w:val="0"/>
          <w:i w:val="0"/>
          <w:color w:val="343A40"/>
          <w:sz w:val="21"/>
        </w:rPr>
        <w:t xml:space="preserve"> (lunedi-venerdi). L'ultima colonna e il dato che conta: quanto pesa il servizio sul venduto.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47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INCASSO MEDIO</w:t>
            </w:r>
          </w:p>
        </w:tc>
        <w:tc>
          <w:tcPr>
            <w:tcW w:type="dxa" w:w="170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AL MESE (LORDO)</w:t>
            </w:r>
          </w:p>
        </w:tc>
        <w:tc>
          <w:tcPr>
            <w:tcW w:type="dxa" w:w="153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IMPONIBILE</w:t>
            </w:r>
          </w:p>
        </w:tc>
        <w:tc>
          <w:tcPr>
            <w:tcW w:type="dxa" w:w="1417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QUOTA 3,5%</w:t>
            </w:r>
          </w:p>
        </w:tc>
        <w:tc>
          <w:tcPr>
            <w:tcW w:type="dxa" w:w="1587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TOTALE MESE</w:t>
            </w:r>
          </w:p>
        </w:tc>
        <w:tc>
          <w:tcPr>
            <w:tcW w:type="dxa" w:w="136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INCIDENZA</w:t>
            </w:r>
          </w:p>
        </w:tc>
      </w:tr>
      <w:tr>
        <w:tc>
          <w:tcPr>
            <w:tcW w:type="dxa" w:w="147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800,00 €/gg</w:t>
            </w:r>
          </w:p>
        </w:tc>
        <w:tc>
          <w:tcPr>
            <w:tcW w:type="dxa" w:w="170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17.600,00 €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16.000,00 €</w:t>
            </w:r>
          </w:p>
        </w:tc>
        <w:tc>
          <w:tcPr>
            <w:tcW w:type="dxa" w:w="141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560,00 €</w:t>
            </w:r>
          </w:p>
        </w:tc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600,00 €</w:t>
            </w:r>
          </w:p>
        </w:tc>
        <w:tc>
          <w:tcPr>
            <w:tcW w:type="dxa" w:w="13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3,41 %</w:t>
            </w:r>
          </w:p>
        </w:tc>
      </w:tr>
      <w:tr>
        <w:tc>
          <w:tcPr>
            <w:tcW w:type="dxa" w:w="147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1.000,00 €/gg</w:t>
            </w:r>
          </w:p>
        </w:tc>
        <w:tc>
          <w:tcPr>
            <w:tcW w:type="dxa" w:w="170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22.000,00 €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20.000,00 €</w:t>
            </w:r>
          </w:p>
        </w:tc>
        <w:tc>
          <w:tcPr>
            <w:tcW w:type="dxa" w:w="141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700,00 €</w:t>
            </w:r>
          </w:p>
        </w:tc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740,00 €</w:t>
            </w:r>
          </w:p>
        </w:tc>
        <w:tc>
          <w:tcPr>
            <w:tcW w:type="dxa" w:w="13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3,36 %</w:t>
            </w:r>
          </w:p>
        </w:tc>
      </w:tr>
      <w:tr>
        <w:tc>
          <w:tcPr>
            <w:tcW w:type="dxa" w:w="147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1.200,00 €/gg</w:t>
            </w:r>
          </w:p>
        </w:tc>
        <w:tc>
          <w:tcPr>
            <w:tcW w:type="dxa" w:w="170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26.400,00 €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24.000,00 €</w:t>
            </w:r>
          </w:p>
        </w:tc>
        <w:tc>
          <w:tcPr>
            <w:tcW w:type="dxa" w:w="141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840,00 €</w:t>
            </w:r>
          </w:p>
        </w:tc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880,00 €</w:t>
            </w:r>
          </w:p>
        </w:tc>
        <w:tc>
          <w:tcPr>
            <w:tcW w:type="dxa" w:w="13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3,33 %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C757D"/>
          <w:sz w:val="21"/>
        </w:rPr>
        <w:t>Il totale mensile comprende la quota variabile e il canone di 40,00 €. Il contributo di ingresso non e ricorrente: incide solo sul primo anno.</w:t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Primo anno e anni successivi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64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INCASSO MEDIO</w:t>
            </w:r>
          </w:p>
        </w:tc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INCASSI ANNUI</w:t>
            </w:r>
          </w:p>
        </w:tc>
        <w:tc>
          <w:tcPr>
            <w:tcW w:type="dxa" w:w="181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PRIMO ANNO</w:t>
            </w:r>
          </w:p>
        </w:tc>
        <w:tc>
          <w:tcPr>
            <w:tcW w:type="dxa" w:w="181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ANNI SUCCESSIVI</w:t>
            </w:r>
          </w:p>
        </w:tc>
        <w:tc>
          <w:tcPr>
            <w:tcW w:type="dxa" w:w="187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INCIDENZA 1O ANNO</w:t>
            </w:r>
          </w:p>
        </w:tc>
      </w:tr>
      <w:tr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800,00 €/gg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211.200,00 €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7.450,00 €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7.200,00 €</w:t>
            </w:r>
          </w:p>
        </w:tc>
        <w:tc>
          <w:tcPr>
            <w:tcW w:type="dxa" w:w="187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3,53 %</w:t>
            </w:r>
          </w:p>
        </w:tc>
      </w:tr>
      <w:tr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1.000,00 €/gg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264.000,00 €</w:t>
            </w:r>
          </w:p>
        </w:tc>
        <w:tc>
          <w:tcPr>
            <w:tcW w:type="dxa" w:w="181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9.130,00 €</w:t>
            </w:r>
          </w:p>
        </w:tc>
        <w:tc>
          <w:tcPr>
            <w:tcW w:type="dxa" w:w="181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8.880,00 €</w:t>
            </w:r>
          </w:p>
        </w:tc>
        <w:tc>
          <w:tcPr>
            <w:tcW w:type="dxa" w:w="187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3,46 %</w:t>
            </w:r>
          </w:p>
        </w:tc>
      </w:tr>
      <w:tr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1.200,00 €/gg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316.800,00 €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10.810,00 €</w:t>
            </w:r>
          </w:p>
        </w:tc>
        <w:tc>
          <w:tcPr>
            <w:tcW w:type="dxa" w:w="181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10.560,00 €</w:t>
            </w:r>
          </w:p>
        </w:tc>
        <w:tc>
          <w:tcPr>
            <w:tcW w:type="dxa" w:w="187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3,41 %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A questi volumi l'incidenza e sostanzialmente piatta, fra il </w:t>
      </w:r>
      <w:r>
        <w:rPr>
          <w:rFonts w:ascii="Calibri" w:hAnsi="Calibri"/>
          <w:b/>
          <w:i w:val="0"/>
          <w:color w:val="16213E"/>
          <w:sz w:val="21"/>
        </w:rPr>
        <w:t>3,33 %</w:t>
      </w:r>
      <w:r>
        <w:rPr>
          <w:rFonts w:ascii="Calibri" w:hAnsi="Calibri"/>
          <w:b w:val="0"/>
          <w:i w:val="0"/>
          <w:color w:val="343A40"/>
          <w:sz w:val="21"/>
        </w:rPr>
        <w:t xml:space="preserve"> e il </w:t>
      </w:r>
      <w:r>
        <w:rPr>
          <w:rFonts w:ascii="Calibri" w:hAnsi="Calibri"/>
          <w:b/>
          <w:i w:val="0"/>
          <w:color w:val="16213E"/>
          <w:sz w:val="21"/>
        </w:rPr>
        <w:t>3,41 %</w:t>
      </w:r>
      <w:r>
        <w:rPr>
          <w:rFonts w:ascii="Calibri" w:hAnsi="Calibri"/>
          <w:b w:val="0"/>
          <w:i w:val="0"/>
          <w:color w:val="343A40"/>
          <w:sz w:val="21"/>
        </w:rPr>
        <w:t>: il canone fisso e il contributo di ingresso si diluiscono e il costo segue quasi solo il venduto. In pratica il servizio costa poco meno del 3,5% degli incassi.</w:t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Cosa comprende il servizio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Per i clienti del locale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Menu digitale con ordinazione e scelta dell'orario di ritiro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Composizione libera di panini, insalate e poke, con extra a listino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Portafoglio prepagato con punti fedelta e premi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Pagamento al banco inquadrando un QR, senza contanti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Acquisto self-service dal cesto dei prodotti pronti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Prenotazione del pasto aziendale convenzionato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Avvisi su Telegram e notifiche sul telefono quando l'ordine e pronto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Per il personale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Display di cucina con avanzamento degli ordini e avviso sonoro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Cassa rapida al banco con generazione del QR di pagamento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Etichette QR per i prodotti preparati in anticipo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Gestione delle convenzioni aziendali e dei menu del giorno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Magazzino dei materiali di consumo con avviso al fornitore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Anagrafica clienti, ricariche, ruoli e permessi per postazione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Report di incasso e prodotti piu venduti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Compreso nel canone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Aggiornamenti e nuove funzioni, senza costi aggiuntivi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Hosting, backup e certificato HTTPS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Correzione dei malfunzionamenti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43A40"/>
          <w:sz w:val="21"/>
        </w:rPr>
        <w:t>Assistenza per la configurazione iniziale del menu e delle postazioni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Cosa resta a carico del locale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servizio e software: l'attrezzatura di sala e gli obblighi fiscali restano vostri. Il dettaglio delle postazioni e nel documento "Layout dispositivi".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VOCE</w:t>
            </w:r>
          </w:p>
        </w:tc>
        <w:tc>
          <w:tcPr>
            <w:tcW w:type="dxa" w:w="6463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NOTA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Tre postazioni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 display o tablet in cucina, un tablet al banco, un PC per la configurazione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Registratore di cassa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Lo scontrino fiscale resta emesso dal vostro registratore: QuickLunch non lo sostituisce e non vi si collega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Stampanti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Una A4 per etichette e liste; una termica 80 mm, consigliata, per i tagliandi di cucina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Connettivita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Rete Wi-Fi che copra cucina, banco e sala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Account per gli avvisi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 indirizzo Gmail e un bot Telegram, gratuiti, per le notifiche a clienti e personale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Come verificate quanto dovete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La quota variabile e verificabile da entrambe le parti sugli stessi dati, senza dichiarazioni da scambiarsi.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prospetto mensile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L'applicazione espone un riepilogo per mese con le tre voci che compongono la base — ordini, banco, pasti aziendali — l'imponibile scorporato e la quota risultante.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Gli stessi numeri dei vostri report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 base di calcolo esce dagli stessi movimenti che vedete nei report di incasso: nessun conteggio separato, nessuna stima.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Fatturazione a mese chiuso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Canone e quota vengono fatturati a mese concluso, sul dato definitivo. Gli ordini annullati e rimborsati non fanno base.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Attivazione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Predisposizione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Creazione del vostro spazio, inserimento del menu con prezzi e allergeni, orari di ritiro, account per le postazioni.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E il lavoro coperto dal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contributo di ingresso di 250,00 €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che si versa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con il personale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 turno di prova con cucina e banco sui manuali operativi, per verificare i flussi prima di aprire ai clienti.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Apertura ai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Affissione del QR di registrazione e primi crediti in cassa. Dal primo ordine il servizio e a regime.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CONDIZIONI DA CONCORDARE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Restano da definire in sede di contratto: durata e preavviso di recesso, termini di pagamento, eventuale periodo di prova iniziale, trattamento dei dati e referente tecnico per parte.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 valori economici — contributo di ingresso di 250,00 €, canone di 40,00 € al mese e quota del 3,5% sull'imponibile — sono quelli della presente offerta.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Offerta valida salvo diversa comunicazione. Gli importi sono al netto di IVA di legge.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QuickLunch · 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