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val="clear" w:color="auto" w:fill="0F3460"/>
            <w:tcMar>
              <w:top w:w="300" w:type="dxa"/>
              <w:bottom w:w="300" w:type="dxa"/>
              <w:left w:w="320" w:type="dxa"/>
              <w:right w:w="320" w:type="dxa"/>
            </w:tcMar>
          </w:tcPr>
          <w:p>
            <w:pPr>
              <w:spacing w:before="0" w:after="80"/>
            </w:pPr>
            <w:r>
              <w:rPr>
                <w:rFonts w:ascii="PT Sans Narrow" w:hAnsi="PT Sans Narrow"/>
                <w:b/>
                <w:i w:val="0"/>
                <w:color w:val="B2C2D9"/>
                <w:sz w:val="21"/>
              </w:rPr>
              <w:t>QUICKLUNCH  ·  PROPOSTA COMMERCIALE</w:t>
            </w:r>
          </w:p>
          <w:p>
            <w:pPr>
              <w:spacing w:before="0" w:after="120"/>
            </w:pPr>
            <w:r>
              <w:rPr>
                <w:rFonts w:ascii="PT Sans Narrow" w:hAnsi="PT Sans Narrow"/>
                <w:b/>
                <w:i w:val="0"/>
                <w:color w:val="FFFFFF"/>
                <w:sz w:val="62"/>
              </w:rPr>
              <w:t>Offerta in abbonamento</w:t>
            </w:r>
          </w:p>
          <w:p>
            <w:pPr>
              <w:spacing w:before="0" w:after="0"/>
            </w:pPr>
            <w:r>
              <w:rPr>
                <w:rFonts w:ascii="PT Sans Narrow" w:hAnsi="PT Sans Narrow"/>
                <w:b w:val="0"/>
                <w:i w:val="0"/>
                <w:color w:val="D6DFEA"/>
                <w:sz w:val="24"/>
              </w:rPr>
              <w:t>La piattaforma di ordinazione, portafoglio prepagato e gestione del bar aziendale, fornita in modalita SaaS: nessuna installazione, nessun server da mantenere, aggiornamenti e copie di sicurezza inclusi nel canone.</w:t>
            </w:r>
          </w:p>
          <w:p>
            <w:pPr>
              <w:spacing w:before="200" w:after="0"/>
            </w:pPr>
            <w:r>
              <w:rPr>
                <w:rFonts w:ascii="PT Sans Narrow" w:hAnsi="PT Sans Narrow"/>
                <w:b/>
                <w:i w:val="0"/>
                <w:color w:val="FFFFFF"/>
                <w:sz w:val="23"/>
              </w:rPr>
              <w:t xml:space="preserve">Il vostro referente:  </w:t>
            </w:r>
            <w:r>
              <w:rPr>
                <w:rFonts w:ascii="PT Sans Narrow" w:hAnsi="PT Sans Narrow"/>
                <w:b/>
                <w:i w:val="0"/>
                <w:color w:val="FFD7DF"/>
                <w:sz w:val="23"/>
              </w:rPr>
              <w:t>Daniele Speziale  ·  dspeziale@gmail.com  ·  +39 352 0150489</w:t>
            </w:r>
          </w:p>
        </w:tc>
      </w:tr>
    </w:tbl>
    <w:p>
      <w:pPr>
        <w:spacing w:before="0" w:after="0"/>
      </w:pPr>
      <w:r>
        <w:rPr>
          <w:rFonts w:ascii="PT Sans Narrow" w:hAnsi="PT Sans Narrow"/>
          <w:b w:val="0"/>
          <w:i w:val="0"/>
          <w:sz w:val="16"/>
        </w:rPr>
      </w:r>
    </w:p>
    <w:p>
      <w:pPr>
        <w:pStyle w:val="Heading1"/>
      </w:pPr>
      <w:r>
        <w:rPr>
          <w:color w:val="0F3460"/>
        </w:rPr>
        <w:t>Software come servizio: che cosa significa</w:t>
      </w:r>
    </w:p>
    <w:p>
      <w:pPr>
        <w:spacing w:before="0" w:after="120"/>
      </w:pPr>
      <w:r>
        <w:rPr>
          <w:rFonts w:ascii="PT Sans Narrow" w:hAnsi="PT Sans Narrow"/>
          <w:b w:val="0"/>
          <w:i w:val="0"/>
          <w:color w:val="343A40"/>
          <w:sz w:val="23"/>
        </w:rPr>
        <w:t>QuickLunch non e un programma da installare sui vostri computer: e un servizio che funziona su internet, come la posta elettronica o l'home banking. Il modello si chiama SaaS, dall'inglese "Software as a Service": voi usate l'applicazione, noi ci occupiamo di tutto il resto.</w:t>
      </w:r>
    </w:p>
    <w:p>
      <w:pPr>
        <w:spacing w:before="0" w:after="120"/>
      </w:pPr>
      <w:r>
        <w:rPr>
          <w:rFonts w:ascii="PT Sans Narrow" w:hAnsi="PT Sans Narrow"/>
          <w:b w:val="0"/>
          <w:i w:val="0"/>
          <w:color w:val="343A40"/>
          <w:sz w:val="23"/>
        </w:rPr>
        <w:t>La differenza pratica e questa: non c'e un server da comprare in sala macchine, non ci sono licenze da rinnovare, non c'e un tecnico da chiamare per gli aggiornamenti. Si apre il browser, si entra col proprio accesso e si lavora — dal tablet del banco, dal display della cucina, dal telefono del cliente.</w:t>
      </w:r>
    </w:p>
    <w:p>
      <w:pPr>
        <w:spacing w:before="0" w:after="0"/>
      </w:pPr>
      <w:r>
        <w:rPr>
          <w:rFonts w:ascii="PT Sans Narrow" w:hAnsi="PT Sans Narrow"/>
          <w:b w:val="0"/>
          <w:i w:val="0"/>
          <w:sz w:val="8"/>
        </w:rPr>
      </w:r>
    </w:p>
    <w:p>
      <w:pPr>
        <w:pStyle w:val="Heading3"/>
      </w:pPr>
      <w:r>
        <w:rPr>
          <w:color w:val="16213E"/>
        </w:rPr>
        <w:t>Come funziona, in concreto</w:t>
      </w:r>
    </w:p>
    <w:p>
      <w:pPr>
        <w:spacing w:before="0" w:after="100"/>
      </w:pPr>
      <w:r>
        <w:rPr>
          <w:rFonts w:ascii="PT Sans Narrow" w:hAnsi="PT Sans Narrow"/>
          <w:b/>
          <w:i w:val="0"/>
          <w:color w:val="16213E"/>
          <w:sz w:val="22"/>
        </w:rPr>
        <w:t xml:space="preserve">Niente da installare.  </w:t>
      </w:r>
      <w:r>
        <w:rPr>
          <w:rFonts w:ascii="PT Sans Narrow" w:hAnsi="PT Sans Narrow"/>
          <w:b w:val="0"/>
          <w:i w:val="0"/>
          <w:color w:val="343A40"/>
          <w:sz w:val="22"/>
        </w:rPr>
        <w:t>L'applicazione vive su internet. Sui vostri dispositivi serve solo un browser aggiornato: nessun programma, nessuna configurazione, nessuno spazio occupato.</w:t>
      </w:r>
    </w:p>
    <w:p>
      <w:pPr>
        <w:spacing w:before="0" w:after="100"/>
      </w:pPr>
      <w:r>
        <w:rPr>
          <w:rFonts w:ascii="PT Sans Narrow" w:hAnsi="PT Sans Narrow"/>
          <w:b/>
          <w:i w:val="0"/>
          <w:color w:val="16213E"/>
          <w:sz w:val="22"/>
        </w:rPr>
        <w:t xml:space="preserve">Sempre l'ultima versione.  </w:t>
      </w:r>
      <w:r>
        <w:rPr>
          <w:rFonts w:ascii="PT Sans Narrow" w:hAnsi="PT Sans Narrow"/>
          <w:b w:val="0"/>
          <w:i w:val="0"/>
          <w:color w:val="343A40"/>
          <w:sz w:val="22"/>
        </w:rPr>
        <w:t>Gli aggiornamenti li facciamo noi, di notte, senza interruzioni del servizio. Il giorno dopo trovate le funzioni nuove: non dovete decidere quando aggiornare ne pagare un passaggio di versione.</w:t>
      </w:r>
    </w:p>
    <w:p>
      <w:pPr>
        <w:spacing w:before="0" w:after="100"/>
      </w:pPr>
      <w:r>
        <w:rPr>
          <w:rFonts w:ascii="PT Sans Narrow" w:hAnsi="PT Sans Narrow"/>
          <w:b/>
          <w:i w:val="0"/>
          <w:color w:val="16213E"/>
          <w:sz w:val="22"/>
        </w:rPr>
        <w:t xml:space="preserve">I dati sono al sicuro e sono vostri.  </w:t>
      </w:r>
      <w:r>
        <w:rPr>
          <w:rFonts w:ascii="PT Sans Narrow" w:hAnsi="PT Sans Narrow"/>
          <w:b w:val="0"/>
          <w:i w:val="0"/>
          <w:color w:val="343A40"/>
          <w:sz w:val="22"/>
        </w:rPr>
        <w:t>Il database e ospitato su infrastruttura professionale con copie di sicurezza automatiche e connessione cifrata. In qualsiasi momento potete scaricare l'archivio completo dei vostri dati con un clic: se un giorno decidete di andarvene, li portate con voi.</w:t>
      </w:r>
    </w:p>
    <w:p>
      <w:pPr>
        <w:spacing w:before="0" w:after="100"/>
      </w:pPr>
      <w:r>
        <w:rPr>
          <w:rFonts w:ascii="PT Sans Narrow" w:hAnsi="PT Sans Narrow"/>
          <w:b/>
          <w:i w:val="0"/>
          <w:color w:val="16213E"/>
          <w:sz w:val="22"/>
        </w:rPr>
        <w:t xml:space="preserve">Si lavora da qualsiasi postazione.  </w:t>
      </w:r>
      <w:r>
        <w:rPr>
          <w:rFonts w:ascii="PT Sans Narrow" w:hAnsi="PT Sans Narrow"/>
          <w:b w:val="0"/>
          <w:i w:val="0"/>
          <w:color w:val="343A40"/>
          <w:sz w:val="22"/>
        </w:rPr>
        <w:t>Cucina, banco e ufficio vedono gli stessi dati nello stesso istante. Un ordine confermato dal telefono di un cliente compare sul display della cucina in pochi secondi.</w:t>
      </w:r>
    </w:p>
    <w:p>
      <w:pPr>
        <w:spacing w:before="0" w:after="100"/>
      </w:pPr>
      <w:r>
        <w:rPr>
          <w:rFonts w:ascii="PT Sans Narrow" w:hAnsi="PT Sans Narrow"/>
          <w:b/>
          <w:i w:val="0"/>
          <w:color w:val="16213E"/>
          <w:sz w:val="22"/>
        </w:rPr>
        <w:t xml:space="preserve">Cresce con voi.  </w:t>
      </w:r>
      <w:r>
        <w:rPr>
          <w:rFonts w:ascii="PT Sans Narrow" w:hAnsi="PT Sans Narrow"/>
          <w:b w:val="0"/>
          <w:i w:val="0"/>
          <w:color w:val="343A40"/>
          <w:sz w:val="22"/>
        </w:rPr>
        <w:t>Un locale o cinque, cinquanta clienti o cinquemila: cambia solo il volume, non l'impianto. Nessun intervento tecnico quando il giro d'affari aumenta.</w:t>
      </w:r>
    </w:p>
    <w:p>
      <w:pPr>
        <w:spacing w:before="0" w:after="100"/>
      </w:pPr>
      <w:r>
        <w:rPr>
          <w:rFonts w:ascii="PT Sans Narrow" w:hAnsi="PT Sans Narrow"/>
          <w:b/>
          <w:i w:val="0"/>
          <w:color w:val="16213E"/>
          <w:sz w:val="22"/>
        </w:rPr>
        <w:t xml:space="preserve">Costo proporzionato.  </w:t>
      </w:r>
      <w:r>
        <w:rPr>
          <w:rFonts w:ascii="PT Sans Narrow" w:hAnsi="PT Sans Narrow"/>
          <w:b w:val="0"/>
          <w:i w:val="0"/>
          <w:color w:val="343A40"/>
          <w:sz w:val="22"/>
        </w:rPr>
        <w:t>Non si compra un programma da migliaia di euro sperando di ripagarlo: si paga un canone contenuto e una quota su quanto si incassa davvero. Se un mese si lavora poco, si paga poco.</w:t>
      </w:r>
    </w:p>
    <w:p>
      <w:pPr>
        <w:spacing w:before="0" w:after="0"/>
      </w:pPr>
      <w:r>
        <w:rPr>
          <w:rFonts w:ascii="PT Sans Narrow" w:hAnsi="PT Sans Narrow"/>
          <w:b w:val="0"/>
          <w:i w:val="0"/>
          <w:sz w:val="6"/>
        </w:rPr>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9412"/>
      </w:tblGrid>
      <w:tr>
        <w:tc>
          <w:tcPr>
            <w:tcW w:type="dxa" w:w="9412"/>
            <w:shd w:val="clear" w:color="auto" w:fill="F8F9FA"/>
            <w:tcBorders>
              <w:top w:val="single" w:sz="18" w:space="0" w:color="E8EBEE"/>
              <w:bottom w:val="single" w:sz="18" w:space="0" w:color="E8EBEE"/>
              <w:left w:val="single" w:sz="18" w:space="0" w:color="27AE60"/>
              <w:right w:val="single" w:sz="18" w:space="0" w:color="E8EBEE"/>
            </w:tcBorders>
            <w:tcMar>
              <w:top w:w="90" w:type="dxa"/>
              <w:bottom w:w="90" w:type="dxa"/>
              <w:left w:w="140" w:type="dxa"/>
              <w:right w:w="110" w:type="dxa"/>
            </w:tcMar>
          </w:tcPr>
          <w:p>
            <w:pPr>
              <w:spacing w:before="0" w:after="60"/>
            </w:pPr>
            <w:r>
              <w:rPr>
                <w:rFonts w:ascii="PT Sans Narrow" w:hAnsi="PT Sans Narrow"/>
                <w:b/>
                <w:i w:val="0"/>
                <w:color w:val="27AE60"/>
                <w:sz w:val="19"/>
              </w:rPr>
              <w:t>COSA VI SERVE DAVVERO</w:t>
            </w:r>
          </w:p>
          <w:p>
            <w:pPr>
              <w:spacing w:before="0" w:after="0"/>
            </w:pPr>
            <w:r>
              <w:rPr>
                <w:rFonts w:ascii="PT Sans Narrow" w:hAnsi="PT Sans Narrow"/>
                <w:b w:val="0"/>
                <w:i w:val="0"/>
                <w:color w:val="343A40"/>
                <w:sz w:val="22"/>
              </w:rPr>
              <w:t xml:space="preserve">Una connessione internet, un browser e i dispositivi che avete già: un tablet al banco, un display o un tablet in cucina, un computer per la configurazione. </w:t>
            </w:r>
            <w:r>
              <w:rPr>
                <w:rFonts w:ascii="PT Sans Narrow" w:hAnsi="PT Sans Narrow"/>
                <w:b/>
                <w:i w:val="0"/>
                <w:color w:val="16213E"/>
                <w:sz w:val="22"/>
              </w:rPr>
              <w:t>Nessun server, nessuna licenza, nessuna manutenzione a carico vostro.</w:t>
            </w:r>
          </w:p>
        </w:tc>
      </w:tr>
    </w:tbl>
    <w:p>
      <w:pPr>
        <w:spacing w:before="0" w:after="0"/>
      </w:pPr>
      <w:r>
        <w:rPr>
          <w:rFonts w:ascii="PT Sans Narrow" w:hAnsi="PT Sans Narrow"/>
          <w:b w:val="0"/>
          <w:i w:val="0"/>
          <w:sz w:val="10"/>
        </w:rPr>
      </w:r>
    </w:p>
    <w:p>
      <w:pPr>
        <w:spacing w:before="0" w:after="0"/>
      </w:pPr>
      <w:r>
        <w:br w:type="page"/>
      </w:r>
    </w:p>
    <w:p>
      <w:pPr>
        <w:pStyle w:val="Heading1"/>
      </w:pPr>
      <w:r>
        <w:rPr>
          <w:color w:val="0F3460"/>
        </w:rPr>
        <w:t>Il prezzo</w:t>
      </w:r>
    </w:p>
    <w:p>
      <w:pPr>
        <w:spacing w:before="0" w:after="0"/>
      </w:pPr>
      <w:r>
        <w:rPr>
          <w:rFonts w:ascii="PT Sans Narrow" w:hAnsi="PT Sans Narrow"/>
          <w:b w:val="0"/>
          <w:i w:val="0"/>
          <w:sz w:val="4"/>
        </w:rPr>
      </w:r>
    </w:p>
    <w:tbl>
      <w:tblPr>
        <w:tblW w:type="auto" w:w="0"/>
        <w:tblLook w:firstColumn="1" w:firstRow="1" w:lastColumn="0" w:lastRow="0" w:noHBand="0" w:noVBand="1" w:val="04A0"/>
        <w:tblBorders>
          <w:top w:val="nil"/>
          <w:left w:val="nil"/>
          <w:bottom w:val="nil"/>
          <w:right w:val="nil"/>
          <w:insideH w:val="nil"/>
          <w:insideV w:val="nil"/>
        </w:tblBorders>
      </w:tblPr>
      <w:tblGrid>
        <w:gridCol w:w="3137"/>
        <w:gridCol w:w="3137"/>
        <w:gridCol w:w="3137"/>
      </w:tblGrid>
      <w:tr>
        <w:tc>
          <w:tcPr>
            <w:tcW w:type="dxa" w:w="3061"/>
            <w:shd w:val="clear" w:color="auto" w:fill="F8F9FA"/>
            <w:tcBorders>
              <w:top w:val="single" w:sz="18" w:space="0" w:color="E8EBEE"/>
              <w:bottom w:val="single" w:sz="18" w:space="0" w:color="E8EBEE"/>
              <w:left w:val="single" w:sz="18" w:space="0" w:color="E94560"/>
              <w:right w:val="single" w:sz="18" w:space="0" w:color="E8EBEE"/>
            </w:tcBorders>
            <w:tcMar>
              <w:top w:w="140" w:type="dxa"/>
              <w:bottom w:w="140" w:type="dxa"/>
              <w:left w:w="160" w:type="dxa"/>
              <w:right w:w="120" w:type="dxa"/>
            </w:tcMar>
          </w:tcPr>
          <w:p>
            <w:pPr>
              <w:spacing w:before="0" w:after="40"/>
            </w:pPr>
            <w:r>
              <w:rPr>
                <w:rFonts w:ascii="PT Sans Narrow" w:hAnsi="PT Sans Narrow"/>
                <w:b/>
                <w:i w:val="0"/>
                <w:color w:val="E94560"/>
                <w:sz w:val="19"/>
              </w:rPr>
              <w:t>CONTRIBUTO DI INGRESSO</w:t>
            </w:r>
          </w:p>
          <w:p>
            <w:pPr>
              <w:spacing w:before="0" w:after="40"/>
            </w:pPr>
            <w:r>
              <w:rPr>
                <w:rFonts w:ascii="PT Sans Narrow" w:hAnsi="PT Sans Narrow"/>
                <w:b/>
                <w:i w:val="0"/>
                <w:color w:val="0F3460"/>
                <w:sz w:val="46"/>
              </w:rPr>
              <w:t>400,00 €</w:t>
            </w:r>
          </w:p>
          <w:p>
            <w:pPr>
              <w:spacing w:before="0" w:after="0"/>
            </w:pPr>
            <w:r>
              <w:rPr>
                <w:rFonts w:ascii="PT Sans Narrow" w:hAnsi="PT Sans Narrow"/>
                <w:b w:val="0"/>
                <w:i w:val="0"/>
                <w:color w:val="6C757D"/>
                <w:sz w:val="20"/>
              </w:rPr>
              <w:t>una tantum, all'attivazione</w:t>
            </w:r>
          </w:p>
        </w:tc>
        <w:tc>
          <w:tcPr>
            <w:tcW w:type="dxa" w:w="3061"/>
            <w:shd w:val="clear" w:color="auto" w:fill="F8F9FA"/>
            <w:tcBorders>
              <w:top w:val="single" w:sz="18" w:space="0" w:color="E8EBEE"/>
              <w:bottom w:val="single" w:sz="18" w:space="0" w:color="E8EBEE"/>
              <w:left w:val="single" w:sz="18" w:space="0" w:color="E94560"/>
              <w:right w:val="single" w:sz="18" w:space="0" w:color="E8EBEE"/>
            </w:tcBorders>
            <w:tcMar>
              <w:top w:w="140" w:type="dxa"/>
              <w:bottom w:w="140" w:type="dxa"/>
              <w:left w:w="160" w:type="dxa"/>
              <w:right w:w="120" w:type="dxa"/>
            </w:tcMar>
          </w:tcPr>
          <w:p>
            <w:pPr>
              <w:spacing w:before="0" w:after="40"/>
            </w:pPr>
            <w:r>
              <w:rPr>
                <w:rFonts w:ascii="PT Sans Narrow" w:hAnsi="PT Sans Narrow"/>
                <w:b/>
                <w:i w:val="0"/>
                <w:color w:val="E94560"/>
                <w:sz w:val="19"/>
              </w:rPr>
              <w:t>CANONE MENSILE</w:t>
            </w:r>
          </w:p>
          <w:p>
            <w:pPr>
              <w:spacing w:before="0" w:after="40"/>
            </w:pPr>
            <w:r>
              <w:rPr>
                <w:rFonts w:ascii="PT Sans Narrow" w:hAnsi="PT Sans Narrow"/>
                <w:b/>
                <w:i w:val="0"/>
                <w:color w:val="0F3460"/>
                <w:sz w:val="46"/>
              </w:rPr>
              <w:t>40,00 €</w:t>
            </w:r>
          </w:p>
          <w:p>
            <w:pPr>
              <w:spacing w:before="0" w:after="0"/>
            </w:pPr>
            <w:r>
              <w:rPr>
                <w:rFonts w:ascii="PT Sans Narrow" w:hAnsi="PT Sans Narrow"/>
                <w:b w:val="0"/>
                <w:i w:val="0"/>
                <w:color w:val="6C757D"/>
                <w:sz w:val="20"/>
              </w:rPr>
              <w:t>fisso, per singolo locale</w:t>
            </w:r>
          </w:p>
        </w:tc>
        <w:tc>
          <w:tcPr>
            <w:tcW w:type="dxa" w:w="3061"/>
            <w:shd w:val="clear" w:color="auto" w:fill="F8F9FA"/>
            <w:tcBorders>
              <w:top w:val="single" w:sz="18" w:space="0" w:color="E8EBEE"/>
              <w:bottom w:val="single" w:sz="18" w:space="0" w:color="E8EBEE"/>
              <w:left w:val="single" w:sz="18" w:space="0" w:color="E94560"/>
              <w:right w:val="single" w:sz="18" w:space="0" w:color="E8EBEE"/>
            </w:tcBorders>
            <w:tcMar>
              <w:top w:w="140" w:type="dxa"/>
              <w:bottom w:w="140" w:type="dxa"/>
              <w:left w:w="160" w:type="dxa"/>
              <w:right w:w="120" w:type="dxa"/>
            </w:tcMar>
          </w:tcPr>
          <w:p>
            <w:pPr>
              <w:spacing w:before="0" w:after="40"/>
            </w:pPr>
            <w:r>
              <w:rPr>
                <w:rFonts w:ascii="PT Sans Narrow" w:hAnsi="PT Sans Narrow"/>
                <w:b/>
                <w:i w:val="0"/>
                <w:color w:val="E94560"/>
                <w:sz w:val="19"/>
              </w:rPr>
              <w:t>QUOTA SUGLI INCASSI</w:t>
            </w:r>
          </w:p>
          <w:p>
            <w:pPr>
              <w:spacing w:before="0" w:after="40"/>
            </w:pPr>
            <w:r>
              <w:rPr>
                <w:rFonts w:ascii="PT Sans Narrow" w:hAnsi="PT Sans Narrow"/>
                <w:b/>
                <w:i w:val="0"/>
                <w:color w:val="0F3460"/>
                <w:sz w:val="46"/>
              </w:rPr>
              <w:t>3,5 %</w:t>
            </w:r>
          </w:p>
          <w:p>
            <w:pPr>
              <w:spacing w:before="0" w:after="0"/>
            </w:pPr>
            <w:r>
              <w:rPr>
                <w:rFonts w:ascii="PT Sans Narrow" w:hAnsi="PT Sans Narrow"/>
                <w:b w:val="0"/>
                <w:i w:val="0"/>
                <w:color w:val="6C757D"/>
                <w:sz w:val="20"/>
              </w:rPr>
              <w:t>sull'imponibile del venduto</w:t>
            </w:r>
          </w:p>
        </w:tc>
      </w:tr>
    </w:tbl>
    <w:p>
      <w:pPr>
        <w:spacing w:before="0" w:after="0"/>
      </w:pPr>
      <w:r>
        <w:rPr>
          <w:rFonts w:ascii="PT Sans Narrow" w:hAnsi="PT Sans Narrow"/>
          <w:b w:val="0"/>
          <w:i w:val="0"/>
          <w:sz w:val="14"/>
        </w:rPr>
      </w:r>
    </w:p>
    <w:p>
      <w:pPr>
        <w:spacing w:before="0" w:after="120"/>
      </w:pPr>
      <w:r>
        <w:rPr>
          <w:rFonts w:ascii="PT Sans Narrow" w:hAnsi="PT Sans Narrow"/>
          <w:b w:val="0"/>
          <w:i w:val="0"/>
          <w:color w:val="343A40"/>
          <w:sz w:val="23"/>
        </w:rPr>
        <w:t>Il contributo di ingresso si paga una volta sola, all'attivazione. Nessun canone di licenza, nessun minimo garantito sulla quota variabile: se un mese non si incassa, si paga il solo canone.</w:t>
      </w:r>
    </w:p>
    <w:p>
      <w:pPr>
        <w:pStyle w:val="Heading1"/>
      </w:pPr>
      <w:r>
        <w:rPr>
          <w:color w:val="0F3460"/>
        </w:rPr>
        <w:t>Su cosa si calcola il 3,5%</w:t>
      </w:r>
    </w:p>
    <w:p>
      <w:pPr>
        <w:spacing w:before="0" w:after="120"/>
      </w:pPr>
      <w:r>
        <w:rPr>
          <w:rFonts w:ascii="PT Sans Narrow" w:hAnsi="PT Sans Narrow"/>
          <w:b w:val="0"/>
          <w:i w:val="0"/>
          <w:color w:val="6C757D"/>
          <w:sz w:val="23"/>
        </w:rPr>
        <w:t>La base di calcolo non e una stima concordata: la misura l'applicazione stessa, voce per voce, con un prospetto mensile consultabile in qualsiasi momento.</w:t>
      </w:r>
    </w:p>
    <w:p>
      <w:pPr>
        <w:spacing w:before="0" w:after="0"/>
      </w:pPr>
      <w:r>
        <w:rPr>
          <w:rFonts w:ascii="PT Sans Narrow" w:hAnsi="PT Sans Narrow"/>
          <w:b w:val="0"/>
          <w:i w:val="0"/>
          <w:sz w:val="4"/>
        </w:rPr>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3137"/>
        <w:gridCol w:w="3137"/>
        <w:gridCol w:w="3137"/>
      </w:tblGrid>
      <w:tr>
        <w:tc>
          <w:tcPr>
            <w:tcW w:type="dxa" w:w="2608"/>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VOCE</w:t>
            </w:r>
          </w:p>
        </w:tc>
        <w:tc>
          <w:tcPr>
            <w:tcW w:type="dxa" w:w="4649"/>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COSA COMPRENDE</w:t>
            </w:r>
          </w:p>
        </w:tc>
        <w:tc>
          <w:tcPr>
            <w:tcW w:type="dxa" w:w="1814"/>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NEL CALCOLO</w:t>
            </w:r>
          </w:p>
        </w:tc>
      </w:tr>
      <w:tr>
        <w:tc>
          <w:tcPr>
            <w:tcW w:type="dxa" w:w="2608"/>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Ordini da menu e builder</w:t>
            </w:r>
          </w:p>
        </w:tc>
        <w:tc>
          <w:tcPr>
            <w:tcW w:type="dxa" w:w="4649"/>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Ordini completati nel mese, al netto degli annullati</w:t>
            </w:r>
          </w:p>
        </w:tc>
        <w:tc>
          <w:tcPr>
            <w:tcW w:type="dxa" w:w="1814"/>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27AE60"/>
                <w:sz w:val="22"/>
              </w:rPr>
              <w:t>sì</w:t>
            </w:r>
          </w:p>
        </w:tc>
      </w:tr>
      <w:tr>
        <w:tc>
          <w:tcPr>
            <w:tcW w:type="dxa" w:w="2608"/>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Vendite al banco</w:t>
            </w:r>
          </w:p>
        </w:tc>
        <w:tc>
          <w:tcPr>
            <w:tcW w:type="dxa" w:w="4649"/>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Sessioni di pagamento QR effettivamente saldate</w:t>
            </w:r>
          </w:p>
        </w:tc>
        <w:tc>
          <w:tcPr>
            <w:tcW w:type="dxa" w:w="1814"/>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27AE60"/>
                <w:sz w:val="22"/>
              </w:rPr>
              <w:t>sì</w:t>
            </w:r>
          </w:p>
        </w:tc>
      </w:tr>
      <w:tr>
        <w:tc>
          <w:tcPr>
            <w:tcW w:type="dxa" w:w="2608"/>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Pasti aziendali</w:t>
            </w:r>
          </w:p>
        </w:tc>
        <w:tc>
          <w:tcPr>
            <w:tcW w:type="dxa" w:w="4649"/>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Porzioni prenotate e non annullate, al prezzo del menu</w:t>
            </w:r>
          </w:p>
        </w:tc>
        <w:tc>
          <w:tcPr>
            <w:tcW w:type="dxa" w:w="1814"/>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27AE60"/>
                <w:sz w:val="22"/>
              </w:rPr>
              <w:t>sì</w:t>
            </w:r>
          </w:p>
        </w:tc>
      </w:tr>
      <w:tr>
        <w:tc>
          <w:tcPr>
            <w:tcW w:type="dxa" w:w="2608"/>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Vendite dal cesto</w:t>
            </w:r>
          </w:p>
        </w:tc>
        <w:tc>
          <w:tcPr>
            <w:tcW w:type="dxa" w:w="4649"/>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Pezzi pre-preparati acquistati inquadrando il QR, compresi gli extra aggiunti alla stessa vendita</w:t>
            </w:r>
          </w:p>
        </w:tc>
        <w:tc>
          <w:tcPr>
            <w:tcW w:type="dxa" w:w="1814"/>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27AE60"/>
                <w:sz w:val="22"/>
              </w:rPr>
              <w:t>sì</w:t>
            </w:r>
          </w:p>
        </w:tc>
      </w:tr>
      <w:tr>
        <w:tc>
          <w:tcPr>
            <w:tcW w:type="dxa" w:w="2608"/>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Ricariche del portafoglio</w:t>
            </w:r>
          </w:p>
        </w:tc>
        <w:tc>
          <w:tcPr>
            <w:tcW w:type="dxa" w:w="4649"/>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Il denaro caricato non e un incasso finche non si spende</w:t>
            </w:r>
          </w:p>
        </w:tc>
        <w:tc>
          <w:tcPr>
            <w:tcW w:type="dxa" w:w="1814"/>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E94560"/>
                <w:sz w:val="22"/>
              </w:rPr>
              <w:t>no</w:t>
            </w:r>
          </w:p>
        </w:tc>
      </w:tr>
    </w:tbl>
    <w:p>
      <w:pPr>
        <w:spacing w:before="0" w:after="0"/>
      </w:pPr>
      <w:r>
        <w:rPr>
          <w:rFonts w:ascii="PT Sans Narrow" w:hAnsi="PT Sans Narrow"/>
          <w:b w:val="0"/>
          <w:i w:val="0"/>
          <w:sz w:val="10"/>
        </w:rPr>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9412"/>
      </w:tblGrid>
      <w:tr>
        <w:tc>
          <w:tcPr>
            <w:tcW w:type="dxa" w:w="9412"/>
            <w:shd w:val="clear" w:color="auto" w:fill="F8F9FA"/>
            <w:tcBorders>
              <w:top w:val="single" w:sz="18" w:space="0" w:color="E8EBEE"/>
              <w:bottom w:val="single" w:sz="18" w:space="0" w:color="E8EBEE"/>
              <w:left w:val="single" w:sz="18" w:space="0" w:color="27AE60"/>
              <w:right w:val="single" w:sz="18" w:space="0" w:color="E8EBEE"/>
            </w:tcBorders>
            <w:tcMar>
              <w:top w:w="90" w:type="dxa"/>
              <w:bottom w:w="90" w:type="dxa"/>
              <w:left w:w="140" w:type="dxa"/>
              <w:right w:w="110" w:type="dxa"/>
            </w:tcMar>
          </w:tcPr>
          <w:p>
            <w:pPr>
              <w:spacing w:before="0" w:after="60"/>
            </w:pPr>
            <w:r>
              <w:rPr>
                <w:rFonts w:ascii="PT Sans Narrow" w:hAnsi="PT Sans Narrow"/>
                <w:b/>
                <w:i w:val="0"/>
                <w:color w:val="27AE60"/>
                <w:sz w:val="19"/>
              </w:rPr>
              <w:t>DUE PRECISAZIONI CHE VI CONVENGONO</w:t>
            </w:r>
          </w:p>
          <w:p>
            <w:pPr>
              <w:spacing w:before="0" w:after="80"/>
            </w:pPr>
            <w:r>
              <w:rPr>
                <w:rFonts w:ascii="PT Sans Narrow" w:hAnsi="PT Sans Narrow"/>
                <w:b w:val="0"/>
                <w:i w:val="0"/>
                <w:color w:val="343A40"/>
                <w:sz w:val="22"/>
              </w:rPr>
              <w:t>La quota si applica all'</w:t>
            </w:r>
            <w:r>
              <w:rPr>
                <w:rFonts w:ascii="PT Sans Narrow" w:hAnsi="PT Sans Narrow"/>
                <w:b/>
                <w:i w:val="0"/>
                <w:color w:val="16213E"/>
                <w:sz w:val="22"/>
              </w:rPr>
              <w:t>imponibile</w:t>
            </w:r>
            <w:r>
              <w:rPr>
                <w:rFonts w:ascii="PT Sans Narrow" w:hAnsi="PT Sans Narrow"/>
                <w:b w:val="0"/>
                <w:i w:val="0"/>
                <w:color w:val="343A40"/>
                <w:sz w:val="22"/>
              </w:rPr>
              <w:t>, non al lordo: dagli incassi viene prima scorporata l'IVA al 10%. Su 1.000 € incassati la base e 909,09 €, non 1.000.</w:t>
            </w:r>
          </w:p>
          <w:p>
            <w:pPr>
              <w:spacing w:before="0" w:after="0"/>
            </w:pPr>
            <w:r>
              <w:rPr>
                <w:rFonts w:ascii="PT Sans Narrow" w:hAnsi="PT Sans Narrow"/>
                <w:b w:val="0"/>
                <w:i w:val="0"/>
                <w:color w:val="343A40"/>
                <w:sz w:val="22"/>
              </w:rPr>
              <w:t xml:space="preserve">Le </w:t>
            </w:r>
            <w:r>
              <w:rPr>
                <w:rFonts w:ascii="PT Sans Narrow" w:hAnsi="PT Sans Narrow"/>
                <w:b/>
                <w:i w:val="0"/>
                <w:color w:val="16213E"/>
                <w:sz w:val="22"/>
              </w:rPr>
              <w:t>ricariche del portafoglio non sono incassi</w:t>
            </w:r>
            <w:r>
              <w:rPr>
                <w:rFonts w:ascii="PT Sans Narrow" w:hAnsi="PT Sans Narrow"/>
                <w:b w:val="0"/>
                <w:i w:val="0"/>
                <w:color w:val="343A40"/>
                <w:sz w:val="22"/>
              </w:rPr>
              <w:t>: la quota matura solo quando il credito viene speso, una volta sola e sul consumo reale.</w:t>
            </w:r>
          </w:p>
        </w:tc>
      </w:tr>
    </w:tbl>
    <w:p>
      <w:pPr>
        <w:spacing w:before="0" w:after="0"/>
      </w:pPr>
      <w:r>
        <w:rPr>
          <w:rFonts w:ascii="PT Sans Narrow" w:hAnsi="PT Sans Narrow"/>
          <w:b w:val="0"/>
          <w:i w:val="0"/>
          <w:sz w:val="10"/>
        </w:rPr>
      </w:r>
    </w:p>
    <w:p>
      <w:pPr>
        <w:spacing w:before="0" w:after="0"/>
      </w:pPr>
      <w:r>
        <w:br w:type="page"/>
      </w:r>
    </w:p>
    <w:p>
      <w:pPr>
        <w:pStyle w:val="Heading1"/>
        <w:spacing w:before="0"/>
      </w:pPr>
      <w:r>
        <w:rPr>
          <w:color w:val="0F3460"/>
        </w:rPr>
        <w:t>Proiezioni sugli incassi</w:t>
      </w:r>
    </w:p>
    <w:p>
      <w:pPr>
        <w:spacing w:before="0" w:after="200"/>
      </w:pPr>
      <w:r>
        <w:rPr>
          <w:rFonts w:ascii="PT Sans Narrow" w:hAnsi="PT Sans Narrow"/>
          <w:b w:val="0"/>
          <w:i w:val="0"/>
          <w:color w:val="343A40"/>
          <w:sz w:val="23"/>
        </w:rPr>
        <w:t xml:space="preserve">Tre ipotesi di incasso medio giornaliero, su </w:t>
      </w:r>
      <w:r>
        <w:rPr>
          <w:rFonts w:ascii="PT Sans Narrow" w:hAnsi="PT Sans Narrow"/>
          <w:b/>
          <w:i w:val="0"/>
          <w:color w:val="16213E"/>
          <w:sz w:val="23"/>
        </w:rPr>
        <w:t>22 giorni di apertura al mese</w:t>
      </w:r>
      <w:r>
        <w:rPr>
          <w:rFonts w:ascii="PT Sans Narrow" w:hAnsi="PT Sans Narrow"/>
          <w:b w:val="0"/>
          <w:i w:val="0"/>
          <w:color w:val="343A40"/>
          <w:sz w:val="23"/>
        </w:rPr>
        <w:t xml:space="preserve"> (lunedi-venerdi). L'ultima colonna e il dato che conta: quanto pesa il servizio sul venduto.</w:t>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1569"/>
        <w:gridCol w:w="1569"/>
        <w:gridCol w:w="1569"/>
        <w:gridCol w:w="1569"/>
        <w:gridCol w:w="1569"/>
        <w:gridCol w:w="1569"/>
      </w:tblGrid>
      <w:tr>
        <w:tc>
          <w:tcPr>
            <w:tcW w:type="dxa" w:w="1474"/>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INCASSO MEDIO</w:t>
            </w:r>
          </w:p>
        </w:tc>
        <w:tc>
          <w:tcPr>
            <w:tcW w:type="dxa" w:w="1701"/>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AL MESE (LORDO)</w:t>
            </w:r>
          </w:p>
        </w:tc>
        <w:tc>
          <w:tcPr>
            <w:tcW w:type="dxa" w:w="1531"/>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IMPONIBILE</w:t>
            </w:r>
          </w:p>
        </w:tc>
        <w:tc>
          <w:tcPr>
            <w:tcW w:type="dxa" w:w="1417"/>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QUOTA 3,5%</w:t>
            </w:r>
          </w:p>
        </w:tc>
        <w:tc>
          <w:tcPr>
            <w:tcW w:type="dxa" w:w="1587"/>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TOTALE MESE</w:t>
            </w:r>
          </w:p>
        </w:tc>
        <w:tc>
          <w:tcPr>
            <w:tcW w:type="dxa" w:w="1361"/>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INCIDENZA</w:t>
            </w:r>
          </w:p>
        </w:tc>
      </w:tr>
      <w:tr>
        <w:tc>
          <w:tcPr>
            <w:tcW w:type="dxa" w:w="1474"/>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800,00 €/gg</w:t>
            </w:r>
          </w:p>
        </w:tc>
        <w:tc>
          <w:tcPr>
            <w:tcW w:type="dxa" w:w="1701"/>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17.600,00 €</w:t>
            </w:r>
          </w:p>
        </w:tc>
        <w:tc>
          <w:tcPr>
            <w:tcW w:type="dxa" w:w="1531"/>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16.000,00 €</w:t>
            </w:r>
          </w:p>
        </w:tc>
        <w:tc>
          <w:tcPr>
            <w:tcW w:type="dxa" w:w="1417"/>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560,00 €</w:t>
            </w:r>
          </w:p>
        </w:tc>
        <w:tc>
          <w:tcPr>
            <w:tcW w:type="dxa" w:w="1587"/>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0F3460"/>
                <w:sz w:val="22"/>
              </w:rPr>
              <w:t>600,00 €</w:t>
            </w:r>
          </w:p>
        </w:tc>
        <w:tc>
          <w:tcPr>
            <w:tcW w:type="dxa" w:w="1361"/>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27AE60"/>
                <w:sz w:val="22"/>
              </w:rPr>
              <w:t>3,41 %</w:t>
            </w:r>
          </w:p>
        </w:tc>
      </w:tr>
      <w:tr>
        <w:tc>
          <w:tcPr>
            <w:tcW w:type="dxa" w:w="1474"/>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1.000,00 €/gg</w:t>
            </w:r>
          </w:p>
        </w:tc>
        <w:tc>
          <w:tcPr>
            <w:tcW w:type="dxa" w:w="1701"/>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22.000,00 €</w:t>
            </w:r>
          </w:p>
        </w:tc>
        <w:tc>
          <w:tcPr>
            <w:tcW w:type="dxa" w:w="1531"/>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20.000,00 €</w:t>
            </w:r>
          </w:p>
        </w:tc>
        <w:tc>
          <w:tcPr>
            <w:tcW w:type="dxa" w:w="1417"/>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700,00 €</w:t>
            </w:r>
          </w:p>
        </w:tc>
        <w:tc>
          <w:tcPr>
            <w:tcW w:type="dxa" w:w="1587"/>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0F3460"/>
                <w:sz w:val="22"/>
              </w:rPr>
              <w:t>740,00 €</w:t>
            </w:r>
          </w:p>
        </w:tc>
        <w:tc>
          <w:tcPr>
            <w:tcW w:type="dxa" w:w="1361"/>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27AE60"/>
                <w:sz w:val="22"/>
              </w:rPr>
              <w:t>3,36 %</w:t>
            </w:r>
          </w:p>
        </w:tc>
      </w:tr>
      <w:tr>
        <w:tc>
          <w:tcPr>
            <w:tcW w:type="dxa" w:w="1474"/>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1.200,00 €/gg</w:t>
            </w:r>
          </w:p>
        </w:tc>
        <w:tc>
          <w:tcPr>
            <w:tcW w:type="dxa" w:w="1701"/>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26.400,00 €</w:t>
            </w:r>
          </w:p>
        </w:tc>
        <w:tc>
          <w:tcPr>
            <w:tcW w:type="dxa" w:w="1531"/>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24.000,00 €</w:t>
            </w:r>
          </w:p>
        </w:tc>
        <w:tc>
          <w:tcPr>
            <w:tcW w:type="dxa" w:w="1417"/>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840,00 €</w:t>
            </w:r>
          </w:p>
        </w:tc>
        <w:tc>
          <w:tcPr>
            <w:tcW w:type="dxa" w:w="1587"/>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0F3460"/>
                <w:sz w:val="22"/>
              </w:rPr>
              <w:t>880,00 €</w:t>
            </w:r>
          </w:p>
        </w:tc>
        <w:tc>
          <w:tcPr>
            <w:tcW w:type="dxa" w:w="1361"/>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27AE60"/>
                <w:sz w:val="22"/>
              </w:rPr>
              <w:t>3,33 %</w:t>
            </w:r>
          </w:p>
        </w:tc>
      </w:tr>
    </w:tbl>
    <w:p>
      <w:pPr>
        <w:spacing w:before="0" w:after="0"/>
      </w:pPr>
      <w:r>
        <w:rPr>
          <w:rFonts w:ascii="PT Sans Narrow" w:hAnsi="PT Sans Narrow"/>
          <w:b w:val="0"/>
          <w:i w:val="0"/>
          <w:sz w:val="10"/>
        </w:rPr>
      </w:r>
    </w:p>
    <w:p>
      <w:pPr>
        <w:spacing w:before="0" w:after="280"/>
      </w:pPr>
      <w:r>
        <w:rPr>
          <w:rFonts w:ascii="PT Sans Narrow" w:hAnsi="PT Sans Narrow"/>
          <w:b w:val="0"/>
          <w:i w:val="0"/>
          <w:color w:val="6C757D"/>
          <w:sz w:val="23"/>
        </w:rPr>
        <w:t>Il totale mensile comprende la quota variabile e il canone di 40,00 €. Il contributo di ingresso non e ricorrente: incide solo sul primo anno.</w:t>
      </w:r>
    </w:p>
    <w:p>
      <w:pPr>
        <w:pStyle w:val="Heading3"/>
      </w:pPr>
      <w:r>
        <w:rPr>
          <w:color w:val="16213E"/>
        </w:rPr>
        <w:t>Primo anno e anni successivi</w:t>
      </w:r>
    </w:p>
    <w:p>
      <w:pPr>
        <w:spacing w:before="0" w:after="0"/>
      </w:pPr>
      <w:r>
        <w:rPr>
          <w:rFonts w:ascii="PT Sans Narrow" w:hAnsi="PT Sans Narrow"/>
          <w:b w:val="0"/>
          <w:i w:val="0"/>
          <w:sz w:val="4"/>
        </w:rPr>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1882"/>
        <w:gridCol w:w="1882"/>
        <w:gridCol w:w="1882"/>
        <w:gridCol w:w="1882"/>
        <w:gridCol w:w="1882"/>
      </w:tblGrid>
      <w:tr>
        <w:tc>
          <w:tcPr>
            <w:tcW w:type="dxa" w:w="1644"/>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INCASSO MEDIO</w:t>
            </w:r>
          </w:p>
        </w:tc>
        <w:tc>
          <w:tcPr>
            <w:tcW w:type="dxa" w:w="1928"/>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INCASSI ANNUI</w:t>
            </w:r>
          </w:p>
        </w:tc>
        <w:tc>
          <w:tcPr>
            <w:tcW w:type="dxa" w:w="1814"/>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PRIMO ANNO</w:t>
            </w:r>
          </w:p>
        </w:tc>
        <w:tc>
          <w:tcPr>
            <w:tcW w:type="dxa" w:w="1814"/>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ANNI SUCCESSIVI</w:t>
            </w:r>
          </w:p>
        </w:tc>
        <w:tc>
          <w:tcPr>
            <w:tcW w:type="dxa" w:w="1871"/>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INCIDENZA 1O ANNO</w:t>
            </w:r>
          </w:p>
        </w:tc>
      </w:tr>
      <w:tr>
        <w:tc>
          <w:tcPr>
            <w:tcW w:type="dxa" w:w="1644"/>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800,00 €/gg</w:t>
            </w:r>
          </w:p>
        </w:tc>
        <w:tc>
          <w:tcPr>
            <w:tcW w:type="dxa" w:w="1928"/>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211.200,00 €</w:t>
            </w:r>
          </w:p>
        </w:tc>
        <w:tc>
          <w:tcPr>
            <w:tcW w:type="dxa" w:w="1814"/>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0F3460"/>
                <w:sz w:val="22"/>
              </w:rPr>
              <w:t>7.600,00 €</w:t>
            </w:r>
          </w:p>
        </w:tc>
        <w:tc>
          <w:tcPr>
            <w:tcW w:type="dxa" w:w="1814"/>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7.200,00 €</w:t>
            </w:r>
          </w:p>
        </w:tc>
        <w:tc>
          <w:tcPr>
            <w:tcW w:type="dxa" w:w="1871"/>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27AE60"/>
                <w:sz w:val="22"/>
              </w:rPr>
              <w:t>3,60 %</w:t>
            </w:r>
          </w:p>
        </w:tc>
      </w:tr>
      <w:tr>
        <w:tc>
          <w:tcPr>
            <w:tcW w:type="dxa" w:w="1644"/>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1.000,00 €/gg</w:t>
            </w:r>
          </w:p>
        </w:tc>
        <w:tc>
          <w:tcPr>
            <w:tcW w:type="dxa" w:w="1928"/>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264.000,00 €</w:t>
            </w:r>
          </w:p>
        </w:tc>
        <w:tc>
          <w:tcPr>
            <w:tcW w:type="dxa" w:w="1814"/>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0F3460"/>
                <w:sz w:val="22"/>
              </w:rPr>
              <w:t>9.280,00 €</w:t>
            </w:r>
          </w:p>
        </w:tc>
        <w:tc>
          <w:tcPr>
            <w:tcW w:type="dxa" w:w="1814"/>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8.880,00 €</w:t>
            </w:r>
          </w:p>
        </w:tc>
        <w:tc>
          <w:tcPr>
            <w:tcW w:type="dxa" w:w="1871"/>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27AE60"/>
                <w:sz w:val="22"/>
              </w:rPr>
              <w:t>3,52 %</w:t>
            </w:r>
          </w:p>
        </w:tc>
      </w:tr>
      <w:tr>
        <w:tc>
          <w:tcPr>
            <w:tcW w:type="dxa" w:w="1644"/>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1.200,00 €/gg</w:t>
            </w:r>
          </w:p>
        </w:tc>
        <w:tc>
          <w:tcPr>
            <w:tcW w:type="dxa" w:w="1928"/>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316.800,00 €</w:t>
            </w:r>
          </w:p>
        </w:tc>
        <w:tc>
          <w:tcPr>
            <w:tcW w:type="dxa" w:w="1814"/>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0F3460"/>
                <w:sz w:val="22"/>
              </w:rPr>
              <w:t>10.960,00 €</w:t>
            </w:r>
          </w:p>
        </w:tc>
        <w:tc>
          <w:tcPr>
            <w:tcW w:type="dxa" w:w="1814"/>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10.560,00 €</w:t>
            </w:r>
          </w:p>
        </w:tc>
        <w:tc>
          <w:tcPr>
            <w:tcW w:type="dxa" w:w="1871"/>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27AE60"/>
                <w:sz w:val="22"/>
              </w:rPr>
              <w:t>3,46 %</w:t>
            </w:r>
          </w:p>
        </w:tc>
      </w:tr>
    </w:tbl>
    <w:p>
      <w:pPr>
        <w:spacing w:before="0" w:after="0"/>
      </w:pPr>
      <w:r>
        <w:rPr>
          <w:rFonts w:ascii="PT Sans Narrow" w:hAnsi="PT Sans Narrow"/>
          <w:b w:val="0"/>
          <w:i w:val="0"/>
          <w:sz w:val="10"/>
        </w:rPr>
      </w:r>
    </w:p>
    <w:p>
      <w:pPr>
        <w:spacing w:before="0" w:after="120"/>
      </w:pPr>
      <w:r>
        <w:rPr>
          <w:rFonts w:ascii="PT Sans Narrow" w:hAnsi="PT Sans Narrow"/>
          <w:b w:val="0"/>
          <w:i w:val="0"/>
          <w:color w:val="343A40"/>
          <w:sz w:val="23"/>
        </w:rPr>
        <w:t xml:space="preserve">A questi volumi l'incidenza e sostanzialmente piatta, fra il </w:t>
      </w:r>
      <w:r>
        <w:rPr>
          <w:rFonts w:ascii="PT Sans Narrow" w:hAnsi="PT Sans Narrow"/>
          <w:b/>
          <w:i w:val="0"/>
          <w:color w:val="16213E"/>
          <w:sz w:val="23"/>
        </w:rPr>
        <w:t>3,33 %</w:t>
      </w:r>
      <w:r>
        <w:rPr>
          <w:rFonts w:ascii="PT Sans Narrow" w:hAnsi="PT Sans Narrow"/>
          <w:b w:val="0"/>
          <w:i w:val="0"/>
          <w:color w:val="343A40"/>
          <w:sz w:val="23"/>
        </w:rPr>
        <w:t xml:space="preserve"> e il </w:t>
      </w:r>
      <w:r>
        <w:rPr>
          <w:rFonts w:ascii="PT Sans Narrow" w:hAnsi="PT Sans Narrow"/>
          <w:b/>
          <w:i w:val="0"/>
          <w:color w:val="16213E"/>
          <w:sz w:val="23"/>
        </w:rPr>
        <w:t>3,41 %</w:t>
      </w:r>
      <w:r>
        <w:rPr>
          <w:rFonts w:ascii="PT Sans Narrow" w:hAnsi="PT Sans Narrow"/>
          <w:b w:val="0"/>
          <w:i w:val="0"/>
          <w:color w:val="343A40"/>
          <w:sz w:val="23"/>
        </w:rPr>
        <w:t>: il canone fisso e il contributo di ingresso si diluiscono e il costo segue quasi solo il venduto. In pratica il servizio costa poco meno del 3,5% degli incassi.</w:t>
      </w:r>
    </w:p>
    <w:p>
      <w:pPr>
        <w:pStyle w:val="Heading1"/>
      </w:pPr>
      <w:r>
        <w:rPr>
          <w:color w:val="0F3460"/>
        </w:rPr>
        <w:t>Cosa comprende il servizio</w:t>
      </w:r>
    </w:p>
    <w:p>
      <w:pPr>
        <w:spacing w:before="0" w:after="0"/>
      </w:pPr>
      <w:r>
        <w:rPr>
          <w:rFonts w:ascii="PT Sans Narrow" w:hAnsi="PT Sans Narrow"/>
          <w:b w:val="0"/>
          <w:i w:val="0"/>
          <w:sz w:val="4"/>
        </w:rPr>
      </w:r>
    </w:p>
    <w:p>
      <w:pPr>
        <w:pStyle w:val="Heading3"/>
      </w:pPr>
      <w:r>
        <w:rPr>
          <w:color w:val="16213E"/>
        </w:rPr>
        <w:t>Per i clienti del locale</w:t>
      </w:r>
    </w:p>
    <w:p>
      <w:pPr>
        <w:pStyle w:val="ListBullet"/>
        <w:spacing w:before="0" w:after="60"/>
      </w:pPr>
      <w:r>
        <w:rPr>
          <w:rFonts w:ascii="PT Sans Narrow" w:hAnsi="PT Sans Narrow"/>
          <w:b w:val="0"/>
          <w:i w:val="0"/>
          <w:color w:val="343A40"/>
          <w:sz w:val="23"/>
        </w:rPr>
        <w:t>Menu digitale con ordinazione e scelta dell'orario di ritiro</w:t>
      </w:r>
    </w:p>
    <w:p>
      <w:pPr>
        <w:pStyle w:val="ListBullet"/>
        <w:spacing w:before="0" w:after="60"/>
      </w:pPr>
      <w:r>
        <w:rPr>
          <w:rFonts w:ascii="PT Sans Narrow" w:hAnsi="PT Sans Narrow"/>
          <w:b w:val="0"/>
          <w:i w:val="0"/>
          <w:color w:val="343A40"/>
          <w:sz w:val="23"/>
        </w:rPr>
        <w:t>Composizione libera di panini, insalate e poke, con extra a listino</w:t>
      </w:r>
    </w:p>
    <w:p>
      <w:pPr>
        <w:pStyle w:val="ListBullet"/>
        <w:spacing w:before="0" w:after="60"/>
      </w:pPr>
      <w:r>
        <w:rPr>
          <w:rFonts w:ascii="PT Sans Narrow" w:hAnsi="PT Sans Narrow"/>
          <w:b w:val="0"/>
          <w:i w:val="0"/>
          <w:color w:val="343A40"/>
          <w:sz w:val="23"/>
        </w:rPr>
        <w:t>Portafoglio prepagato con punti fedelta e premi</w:t>
      </w:r>
    </w:p>
    <w:p>
      <w:pPr>
        <w:pStyle w:val="ListBullet"/>
        <w:spacing w:before="0" w:after="60"/>
      </w:pPr>
      <w:r>
        <w:rPr>
          <w:rFonts w:ascii="PT Sans Narrow" w:hAnsi="PT Sans Narrow"/>
          <w:b w:val="0"/>
          <w:i w:val="0"/>
          <w:color w:val="343A40"/>
          <w:sz w:val="23"/>
        </w:rPr>
        <w:t>Pagamento al banco inquadrando un QR, senza contanti</w:t>
      </w:r>
    </w:p>
    <w:p>
      <w:pPr>
        <w:pStyle w:val="ListBullet"/>
        <w:spacing w:before="0" w:after="60"/>
      </w:pPr>
      <w:r>
        <w:rPr>
          <w:rFonts w:ascii="PT Sans Narrow" w:hAnsi="PT Sans Narrow"/>
          <w:b w:val="0"/>
          <w:i w:val="0"/>
          <w:color w:val="343A40"/>
          <w:sz w:val="23"/>
        </w:rPr>
        <w:t>Acquisto self-service dal cesto dei prodotti pronti</w:t>
      </w:r>
    </w:p>
    <w:p>
      <w:pPr>
        <w:pStyle w:val="ListBullet"/>
        <w:spacing w:before="0" w:after="60"/>
      </w:pPr>
      <w:r>
        <w:rPr>
          <w:rFonts w:ascii="PT Sans Narrow" w:hAnsi="PT Sans Narrow"/>
          <w:b w:val="0"/>
          <w:i w:val="0"/>
          <w:color w:val="343A40"/>
          <w:sz w:val="23"/>
        </w:rPr>
        <w:t>Prenotazione del pasto aziendale convenzionato</w:t>
      </w:r>
    </w:p>
    <w:p>
      <w:pPr>
        <w:pStyle w:val="ListBullet"/>
        <w:spacing w:before="0" w:after="60"/>
      </w:pPr>
      <w:r>
        <w:rPr>
          <w:rFonts w:ascii="PT Sans Narrow" w:hAnsi="PT Sans Narrow"/>
          <w:b w:val="0"/>
          <w:i w:val="0"/>
          <w:color w:val="343A40"/>
          <w:sz w:val="23"/>
        </w:rPr>
        <w:t>Avvisi su Telegram e notifiche sul telefono quando l'ordine e pronto</w:t>
      </w:r>
    </w:p>
    <w:p>
      <w:pPr>
        <w:spacing w:before="0" w:after="0"/>
      </w:pPr>
      <w:r>
        <w:rPr>
          <w:rFonts w:ascii="PT Sans Narrow" w:hAnsi="PT Sans Narrow"/>
          <w:b w:val="0"/>
          <w:i w:val="0"/>
          <w:sz w:val="6"/>
        </w:rPr>
      </w:r>
    </w:p>
    <w:p>
      <w:pPr>
        <w:pStyle w:val="Heading3"/>
      </w:pPr>
      <w:r>
        <w:rPr>
          <w:color w:val="16213E"/>
        </w:rPr>
        <w:t>Per il personale</w:t>
      </w:r>
    </w:p>
    <w:p>
      <w:pPr>
        <w:pStyle w:val="ListBullet"/>
        <w:spacing w:before="0" w:after="60"/>
      </w:pPr>
      <w:r>
        <w:rPr>
          <w:rFonts w:ascii="PT Sans Narrow" w:hAnsi="PT Sans Narrow"/>
          <w:b w:val="0"/>
          <w:i w:val="0"/>
          <w:color w:val="343A40"/>
          <w:sz w:val="23"/>
        </w:rPr>
        <w:t>Display di cucina con avanzamento degli ordini e avviso sonoro</w:t>
      </w:r>
    </w:p>
    <w:p>
      <w:pPr>
        <w:pStyle w:val="ListBullet"/>
        <w:spacing w:before="0" w:after="60"/>
      </w:pPr>
      <w:r>
        <w:rPr>
          <w:rFonts w:ascii="PT Sans Narrow" w:hAnsi="PT Sans Narrow"/>
          <w:b w:val="0"/>
          <w:i w:val="0"/>
          <w:color w:val="343A40"/>
          <w:sz w:val="23"/>
        </w:rPr>
        <w:t>Cassa rapida al banco con generazione del QR di pagamento</w:t>
      </w:r>
    </w:p>
    <w:p>
      <w:pPr>
        <w:pStyle w:val="ListBullet"/>
        <w:spacing w:before="0" w:after="60"/>
      </w:pPr>
      <w:r>
        <w:rPr>
          <w:rFonts w:ascii="PT Sans Narrow" w:hAnsi="PT Sans Narrow"/>
          <w:b w:val="0"/>
          <w:i w:val="0"/>
          <w:color w:val="343A40"/>
          <w:sz w:val="23"/>
        </w:rPr>
        <w:t>Etichette QR per i prodotti preparati in anticipo</w:t>
      </w:r>
    </w:p>
    <w:p>
      <w:pPr>
        <w:pStyle w:val="ListBullet"/>
        <w:spacing w:before="0" w:after="60"/>
      </w:pPr>
      <w:r>
        <w:rPr>
          <w:rFonts w:ascii="PT Sans Narrow" w:hAnsi="PT Sans Narrow"/>
          <w:b w:val="0"/>
          <w:i w:val="0"/>
          <w:color w:val="343A40"/>
          <w:sz w:val="23"/>
        </w:rPr>
        <w:t>Gestione delle convenzioni aziendali e dei menu del giorno</w:t>
      </w:r>
    </w:p>
    <w:p>
      <w:pPr>
        <w:pStyle w:val="ListBullet"/>
        <w:spacing w:before="0" w:after="60"/>
      </w:pPr>
      <w:r>
        <w:rPr>
          <w:rFonts w:ascii="PT Sans Narrow" w:hAnsi="PT Sans Narrow"/>
          <w:b w:val="0"/>
          <w:i w:val="0"/>
          <w:color w:val="343A40"/>
          <w:sz w:val="23"/>
        </w:rPr>
        <w:t>Magazzino dei materiali di consumo con avviso al fornitore</w:t>
      </w:r>
    </w:p>
    <w:p>
      <w:pPr>
        <w:pStyle w:val="ListBullet"/>
        <w:spacing w:before="0" w:after="60"/>
      </w:pPr>
      <w:r>
        <w:rPr>
          <w:rFonts w:ascii="PT Sans Narrow" w:hAnsi="PT Sans Narrow"/>
          <w:b w:val="0"/>
          <w:i w:val="0"/>
          <w:color w:val="343A40"/>
          <w:sz w:val="23"/>
        </w:rPr>
        <w:t>Anagrafica clienti, ricariche, ruoli e permessi per postazione</w:t>
      </w:r>
    </w:p>
    <w:p>
      <w:pPr>
        <w:pStyle w:val="ListBullet"/>
        <w:spacing w:before="0" w:after="60"/>
      </w:pPr>
      <w:r>
        <w:rPr>
          <w:rFonts w:ascii="PT Sans Narrow" w:hAnsi="PT Sans Narrow"/>
          <w:b w:val="0"/>
          <w:i w:val="0"/>
          <w:color w:val="343A40"/>
          <w:sz w:val="23"/>
        </w:rPr>
        <w:t>Report di incasso e prodotti piu venduti</w:t>
      </w:r>
    </w:p>
    <w:p>
      <w:pPr>
        <w:spacing w:before="0" w:after="0"/>
      </w:pPr>
      <w:r>
        <w:rPr>
          <w:rFonts w:ascii="PT Sans Narrow" w:hAnsi="PT Sans Narrow"/>
          <w:b w:val="0"/>
          <w:i w:val="0"/>
          <w:sz w:val="6"/>
        </w:rPr>
      </w:r>
    </w:p>
    <w:p>
      <w:pPr>
        <w:pStyle w:val="Heading3"/>
      </w:pPr>
      <w:r>
        <w:rPr>
          <w:color w:val="16213E"/>
        </w:rPr>
        <w:t>Compreso nel canone</w:t>
      </w:r>
    </w:p>
    <w:p>
      <w:pPr>
        <w:pStyle w:val="ListBullet"/>
        <w:spacing w:before="0" w:after="60"/>
      </w:pPr>
      <w:r>
        <w:rPr>
          <w:rFonts w:ascii="PT Sans Narrow" w:hAnsi="PT Sans Narrow"/>
          <w:b w:val="0"/>
          <w:i w:val="0"/>
          <w:color w:val="343A40"/>
          <w:sz w:val="23"/>
        </w:rPr>
        <w:t>Aggiornamenti e nuove funzioni, senza costi aggiuntivi</w:t>
      </w:r>
    </w:p>
    <w:p>
      <w:pPr>
        <w:pStyle w:val="ListBullet"/>
        <w:spacing w:before="0" w:after="60"/>
      </w:pPr>
      <w:r>
        <w:rPr>
          <w:rFonts w:ascii="PT Sans Narrow" w:hAnsi="PT Sans Narrow"/>
          <w:b w:val="0"/>
          <w:i w:val="0"/>
          <w:color w:val="343A40"/>
          <w:sz w:val="23"/>
        </w:rPr>
        <w:t>Hosting, backup e certificato HTTPS</w:t>
      </w:r>
    </w:p>
    <w:p>
      <w:pPr>
        <w:pStyle w:val="ListBullet"/>
        <w:spacing w:before="0" w:after="60"/>
      </w:pPr>
      <w:r>
        <w:rPr>
          <w:rFonts w:ascii="PT Sans Narrow" w:hAnsi="PT Sans Narrow"/>
          <w:b w:val="0"/>
          <w:i w:val="0"/>
          <w:color w:val="343A40"/>
          <w:sz w:val="23"/>
        </w:rPr>
        <w:t>Correzione dei malfunzionamenti</w:t>
      </w:r>
    </w:p>
    <w:p>
      <w:pPr>
        <w:pStyle w:val="ListBullet"/>
        <w:spacing w:before="0" w:after="60"/>
      </w:pPr>
      <w:r>
        <w:rPr>
          <w:rFonts w:ascii="PT Sans Narrow" w:hAnsi="PT Sans Narrow"/>
          <w:b w:val="0"/>
          <w:i w:val="0"/>
          <w:color w:val="343A40"/>
          <w:sz w:val="23"/>
        </w:rPr>
        <w:t>Assistenza per la configurazione iniziale del menu e delle postazioni</w:t>
      </w:r>
    </w:p>
    <w:p>
      <w:pPr>
        <w:spacing w:before="0" w:after="0"/>
      </w:pPr>
      <w:r>
        <w:rPr>
          <w:rFonts w:ascii="PT Sans Narrow" w:hAnsi="PT Sans Narrow"/>
          <w:b w:val="0"/>
          <w:i w:val="0"/>
          <w:sz w:val="6"/>
        </w:rPr>
      </w:r>
    </w:p>
    <w:p>
      <w:pPr>
        <w:spacing w:before="0" w:after="0"/>
      </w:pPr>
      <w:r>
        <w:br w:type="page"/>
      </w:r>
    </w:p>
    <w:p>
      <w:pPr>
        <w:pStyle w:val="Heading1"/>
        <w:spacing w:before="0"/>
      </w:pPr>
      <w:r>
        <w:rPr>
          <w:color w:val="0F3460"/>
        </w:rPr>
        <w:t>Cosa resta a carico del locale</w:t>
      </w:r>
    </w:p>
    <w:p>
      <w:pPr>
        <w:spacing w:before="0" w:after="120"/>
      </w:pPr>
      <w:r>
        <w:rPr>
          <w:rFonts w:ascii="PT Sans Narrow" w:hAnsi="PT Sans Narrow"/>
          <w:b w:val="0"/>
          <w:i w:val="0"/>
          <w:color w:val="6C757D"/>
          <w:sz w:val="23"/>
        </w:rPr>
        <w:t>Il servizio e software: l'attrezzatura di sala e gli obblighi fiscali restano vostri. Il dettaglio delle postazioni e nel documento "Layout dispositivi".</w:t>
      </w:r>
    </w:p>
    <w:p>
      <w:pPr>
        <w:spacing w:before="0" w:after="0"/>
      </w:pPr>
      <w:r>
        <w:rPr>
          <w:rFonts w:ascii="PT Sans Narrow" w:hAnsi="PT Sans Narrow"/>
          <w:b w:val="0"/>
          <w:i w:val="0"/>
          <w:sz w:val="4"/>
        </w:rPr>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706"/>
        <w:gridCol w:w="4706"/>
      </w:tblGrid>
      <w:tr>
        <w:tc>
          <w:tcPr>
            <w:tcW w:type="dxa" w:w="2608"/>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VOCE</w:t>
            </w:r>
          </w:p>
        </w:tc>
        <w:tc>
          <w:tcPr>
            <w:tcW w:type="dxa" w:w="6463"/>
            <w:shd w:val="clear" w:color="auto" w:fill="0F3460"/>
            <w:tcMar>
              <w:top w:w="60" w:type="dxa"/>
              <w:bottom w:w="60" w:type="dxa"/>
              <w:left w:w="110" w:type="dxa"/>
              <w:right w:w="80" w:type="dxa"/>
            </w:tcMar>
          </w:tcPr>
          <w:p>
            <w:pPr>
              <w:spacing w:before="0" w:after="0"/>
            </w:pPr>
            <w:r>
              <w:rPr>
                <w:rFonts w:ascii="PT Sans Narrow" w:hAnsi="PT Sans Narrow"/>
                <w:b/>
                <w:i w:val="0"/>
                <w:color w:val="FFFFFF"/>
                <w:sz w:val="19"/>
              </w:rPr>
              <w:t>NOTA</w:t>
            </w:r>
          </w:p>
        </w:tc>
      </w:tr>
      <w:tr>
        <w:tc>
          <w:tcPr>
            <w:tcW w:type="dxa" w:w="2608"/>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Tre postazioni</w:t>
            </w:r>
          </w:p>
        </w:tc>
        <w:tc>
          <w:tcPr>
            <w:tcW w:type="dxa" w:w="6463"/>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Un display o tablet in cucina, un tablet al banco, un PC per la configurazione</w:t>
            </w:r>
          </w:p>
        </w:tc>
      </w:tr>
      <w:tr>
        <w:tc>
          <w:tcPr>
            <w:tcW w:type="dxa" w:w="2608"/>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Registratore di cassa</w:t>
            </w:r>
          </w:p>
        </w:tc>
        <w:tc>
          <w:tcPr>
            <w:tcW w:type="dxa" w:w="6463"/>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Lo scontrino fiscale resta emesso dal vostro registratore: QuickLunch non lo sostituisce e non vi si collega</w:t>
            </w:r>
          </w:p>
        </w:tc>
      </w:tr>
      <w:tr>
        <w:tc>
          <w:tcPr>
            <w:tcW w:type="dxa" w:w="2608"/>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Stampanti</w:t>
            </w:r>
          </w:p>
        </w:tc>
        <w:tc>
          <w:tcPr>
            <w:tcW w:type="dxa" w:w="6463"/>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Una A4 per etichette e liste; una termica 80 mm, consigliata, per i tagliandi di cucina</w:t>
            </w:r>
          </w:p>
        </w:tc>
      </w:tr>
      <w:tr>
        <w:tc>
          <w:tcPr>
            <w:tcW w:type="dxa" w:w="2608"/>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Connettivita</w:t>
            </w:r>
          </w:p>
        </w:tc>
        <w:tc>
          <w:tcPr>
            <w:tcW w:type="dxa" w:w="6463"/>
            <w:shd w:val="clear" w:color="auto" w:fill="FFFFFF"/>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Rete Wi-Fi che copra cucina, banco e sala</w:t>
            </w:r>
          </w:p>
        </w:tc>
      </w:tr>
      <w:tr>
        <w:tc>
          <w:tcPr>
            <w:tcW w:type="dxa" w:w="2608"/>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i w:val="0"/>
                <w:color w:val="16213E"/>
                <w:sz w:val="22"/>
              </w:rPr>
              <w:t>Account per gli avvisi</w:t>
            </w:r>
          </w:p>
        </w:tc>
        <w:tc>
          <w:tcPr>
            <w:tcW w:type="dxa" w:w="6463"/>
            <w:shd w:val="clear" w:color="auto" w:fill="F8F9FA"/>
            <w:tcBorders>
              <w:top w:val="nil"/>
              <w:bottom w:val="single" w:sz="4" w:space="0" w:color="E8EBEE"/>
              <w:left w:val="nil"/>
              <w:right w:val="nil"/>
            </w:tcBorders>
            <w:tcMar>
              <w:top w:w="55" w:type="dxa"/>
              <w:bottom w:w="55" w:type="dxa"/>
              <w:left w:w="110" w:type="dxa"/>
              <w:right w:w="80" w:type="dxa"/>
            </w:tcMar>
          </w:tcPr>
          <w:p>
            <w:pPr>
              <w:spacing w:before="0" w:after="0"/>
            </w:pPr>
            <w:r>
              <w:rPr>
                <w:rFonts w:ascii="PT Sans Narrow" w:hAnsi="PT Sans Narrow"/>
                <w:b w:val="0"/>
                <w:i w:val="0"/>
                <w:color w:val="343A40"/>
                <w:sz w:val="22"/>
              </w:rPr>
              <w:t>Un indirizzo Gmail e un bot Telegram, gratuiti, per le notifiche a clienti e personale</w:t>
            </w:r>
          </w:p>
        </w:tc>
      </w:tr>
    </w:tbl>
    <w:p>
      <w:pPr>
        <w:spacing w:before="0" w:after="0"/>
      </w:pPr>
      <w:r>
        <w:rPr>
          <w:rFonts w:ascii="PT Sans Narrow" w:hAnsi="PT Sans Narrow"/>
          <w:b w:val="0"/>
          <w:i w:val="0"/>
          <w:sz w:val="10"/>
        </w:rPr>
      </w:r>
    </w:p>
    <w:p>
      <w:pPr>
        <w:pStyle w:val="Heading1"/>
      </w:pPr>
      <w:r>
        <w:rPr>
          <w:color w:val="0F3460"/>
        </w:rPr>
        <w:t>Come verificate quanto dovete</w:t>
      </w:r>
    </w:p>
    <w:p>
      <w:pPr>
        <w:spacing w:before="0" w:after="120"/>
      </w:pPr>
      <w:r>
        <w:rPr>
          <w:rFonts w:ascii="PT Sans Narrow" w:hAnsi="PT Sans Narrow"/>
          <w:b w:val="0"/>
          <w:i w:val="0"/>
          <w:color w:val="6C757D"/>
          <w:sz w:val="23"/>
        </w:rPr>
        <w:t>La quota variabile e verificabile da entrambe le parti sugli stessi dati, senza dichiarazioni da scambiarsi.</w:t>
      </w:r>
    </w:p>
    <w:p>
      <w:pPr>
        <w:spacing w:before="0" w:after="0"/>
      </w:pPr>
      <w:r>
        <w:rPr>
          <w:rFonts w:ascii="PT Sans Narrow" w:hAnsi="PT Sans Narrow"/>
          <w:b w:val="0"/>
          <w:i w:val="0"/>
          <w:sz w:val="4"/>
        </w:rPr>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706"/>
        <w:gridCol w:w="4706"/>
      </w:tblGrid>
      <w:tr>
        <w:tc>
          <w:tcPr>
            <w:tcW w:type="dxa" w:w="567"/>
            <w:shd w:val="clear" w:color="auto" w:fill="27AE60"/>
            <w:tcMar>
              <w:top w:w="60" w:type="dxa"/>
              <w:bottom w:w="60" w:type="dxa"/>
              <w:left w:w="30" w:type="dxa"/>
              <w:right w:w="30" w:type="dxa"/>
            </w:tcMar>
            <w:vAlign w:val="center"/>
          </w:tcPr>
          <w:p>
            <w:pPr>
              <w:spacing w:before="0" w:after="0"/>
              <w:jc w:val="center"/>
            </w:pPr>
            <w:r>
              <w:rPr>
                <w:rFonts w:ascii="PT Sans Narrow" w:hAnsi="PT Sans Narrow"/>
                <w:b/>
                <w:i w:val="0"/>
                <w:color w:val="FFFFFF"/>
                <w:sz w:val="26"/>
              </w:rPr>
              <w:t>01</w:t>
            </w:r>
          </w:p>
        </w:tc>
        <w:tc>
          <w:tcPr>
            <w:tcW w:type="dxa" w:w="8787"/>
            <w:tcMar>
              <w:top w:w="50" w:type="dxa"/>
              <w:bottom w:w="50" w:type="dxa"/>
              <w:left w:w="150" w:type="dxa"/>
              <w:right w:w="60" w:type="dxa"/>
            </w:tcMar>
          </w:tcPr>
          <w:p>
            <w:pPr>
              <w:spacing w:before="0" w:after="40"/>
            </w:pPr>
            <w:r>
              <w:rPr>
                <w:rFonts w:ascii="PT Sans Narrow" w:hAnsi="PT Sans Narrow"/>
                <w:b/>
                <w:i w:val="0"/>
                <w:color w:val="16213E"/>
                <w:sz w:val="25"/>
              </w:rPr>
              <w:t>Il prospetto mensile</w:t>
            </w:r>
          </w:p>
          <w:p>
            <w:pPr>
              <w:spacing w:before="0" w:after="60"/>
            </w:pPr>
            <w:r>
              <w:rPr>
                <w:rFonts w:ascii="PT Sans Narrow" w:hAnsi="PT Sans Narrow"/>
                <w:b w:val="0"/>
                <w:i w:val="0"/>
                <w:color w:val="343A40"/>
                <w:sz w:val="22"/>
              </w:rPr>
              <w:t>L'applicazione espone un riepilogo per mese con le tre voci che compongono la base — ordini, banco, pasti aziendali — l'imponibile scorporato e la quota risultante.</w:t>
            </w:r>
          </w:p>
        </w:tc>
      </w:tr>
    </w:tbl>
    <w:p>
      <w:pPr>
        <w:spacing w:before="0" w:after="0"/>
      </w:pPr>
      <w:r>
        <w:rPr>
          <w:rFonts w:ascii="PT Sans Narrow" w:hAnsi="PT Sans Narrow"/>
          <w:b w:val="0"/>
          <w:i w:val="0"/>
          <w:sz w:val="6"/>
        </w:rPr>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706"/>
        <w:gridCol w:w="4706"/>
      </w:tblGrid>
      <w:tr>
        <w:tc>
          <w:tcPr>
            <w:tcW w:type="dxa" w:w="567"/>
            <w:shd w:val="clear" w:color="auto" w:fill="27AE60"/>
            <w:tcMar>
              <w:top w:w="60" w:type="dxa"/>
              <w:bottom w:w="60" w:type="dxa"/>
              <w:left w:w="30" w:type="dxa"/>
              <w:right w:w="30" w:type="dxa"/>
            </w:tcMar>
            <w:vAlign w:val="center"/>
          </w:tcPr>
          <w:p>
            <w:pPr>
              <w:spacing w:before="0" w:after="0"/>
              <w:jc w:val="center"/>
            </w:pPr>
            <w:r>
              <w:rPr>
                <w:rFonts w:ascii="PT Sans Narrow" w:hAnsi="PT Sans Narrow"/>
                <w:b/>
                <w:i w:val="0"/>
                <w:color w:val="FFFFFF"/>
                <w:sz w:val="26"/>
              </w:rPr>
              <w:t>02</w:t>
            </w:r>
          </w:p>
        </w:tc>
        <w:tc>
          <w:tcPr>
            <w:tcW w:type="dxa" w:w="8787"/>
            <w:tcMar>
              <w:top w:w="50" w:type="dxa"/>
              <w:bottom w:w="50" w:type="dxa"/>
              <w:left w:w="150" w:type="dxa"/>
              <w:right w:w="60" w:type="dxa"/>
            </w:tcMar>
          </w:tcPr>
          <w:p>
            <w:pPr>
              <w:spacing w:before="0" w:after="40"/>
            </w:pPr>
            <w:r>
              <w:rPr>
                <w:rFonts w:ascii="PT Sans Narrow" w:hAnsi="PT Sans Narrow"/>
                <w:b/>
                <w:i w:val="0"/>
                <w:color w:val="16213E"/>
                <w:sz w:val="25"/>
              </w:rPr>
              <w:t>Gli stessi numeri dei vostri report</w:t>
            </w:r>
          </w:p>
          <w:p>
            <w:pPr>
              <w:spacing w:before="0" w:after="60"/>
            </w:pPr>
            <w:r>
              <w:rPr>
                <w:rFonts w:ascii="PT Sans Narrow" w:hAnsi="PT Sans Narrow"/>
                <w:b w:val="0"/>
                <w:i w:val="0"/>
                <w:color w:val="343A40"/>
                <w:sz w:val="22"/>
              </w:rPr>
              <w:t>La base di calcolo esce dagli stessi movimenti che vedete nei report di incasso: nessun conteggio separato, nessuna stima.</w:t>
            </w:r>
          </w:p>
        </w:tc>
      </w:tr>
    </w:tbl>
    <w:p>
      <w:pPr>
        <w:spacing w:before="0" w:after="0"/>
      </w:pPr>
      <w:r>
        <w:rPr>
          <w:rFonts w:ascii="PT Sans Narrow" w:hAnsi="PT Sans Narrow"/>
          <w:b w:val="0"/>
          <w:i w:val="0"/>
          <w:sz w:val="6"/>
        </w:rPr>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706"/>
        <w:gridCol w:w="4706"/>
      </w:tblGrid>
      <w:tr>
        <w:tc>
          <w:tcPr>
            <w:tcW w:type="dxa" w:w="567"/>
            <w:shd w:val="clear" w:color="auto" w:fill="27AE60"/>
            <w:tcMar>
              <w:top w:w="60" w:type="dxa"/>
              <w:bottom w:w="60" w:type="dxa"/>
              <w:left w:w="30" w:type="dxa"/>
              <w:right w:w="30" w:type="dxa"/>
            </w:tcMar>
            <w:vAlign w:val="center"/>
          </w:tcPr>
          <w:p>
            <w:pPr>
              <w:spacing w:before="0" w:after="0"/>
              <w:jc w:val="center"/>
            </w:pPr>
            <w:r>
              <w:rPr>
                <w:rFonts w:ascii="PT Sans Narrow" w:hAnsi="PT Sans Narrow"/>
                <w:b/>
                <w:i w:val="0"/>
                <w:color w:val="FFFFFF"/>
                <w:sz w:val="26"/>
              </w:rPr>
              <w:t>03</w:t>
            </w:r>
          </w:p>
        </w:tc>
        <w:tc>
          <w:tcPr>
            <w:tcW w:type="dxa" w:w="8787"/>
            <w:tcMar>
              <w:top w:w="50" w:type="dxa"/>
              <w:bottom w:w="50" w:type="dxa"/>
              <w:left w:w="150" w:type="dxa"/>
              <w:right w:w="60" w:type="dxa"/>
            </w:tcMar>
          </w:tcPr>
          <w:p>
            <w:pPr>
              <w:spacing w:before="0" w:after="40"/>
            </w:pPr>
            <w:r>
              <w:rPr>
                <w:rFonts w:ascii="PT Sans Narrow" w:hAnsi="PT Sans Narrow"/>
                <w:b/>
                <w:i w:val="0"/>
                <w:color w:val="16213E"/>
                <w:sz w:val="25"/>
              </w:rPr>
              <w:t>Fatturazione a mese chiuso</w:t>
            </w:r>
          </w:p>
          <w:p>
            <w:pPr>
              <w:spacing w:before="0" w:after="60"/>
            </w:pPr>
            <w:r>
              <w:rPr>
                <w:rFonts w:ascii="PT Sans Narrow" w:hAnsi="PT Sans Narrow"/>
                <w:b w:val="0"/>
                <w:i w:val="0"/>
                <w:color w:val="343A40"/>
                <w:sz w:val="22"/>
              </w:rPr>
              <w:t>Canone e quota vengono fatturati a mese concluso, sul dato definitivo. Gli ordini annullati e rimborsati non fanno base.</w:t>
            </w:r>
          </w:p>
        </w:tc>
      </w:tr>
    </w:tbl>
    <w:p>
      <w:pPr>
        <w:spacing w:before="0" w:after="0"/>
      </w:pPr>
      <w:r>
        <w:rPr>
          <w:rFonts w:ascii="PT Sans Narrow" w:hAnsi="PT Sans Narrow"/>
          <w:b w:val="0"/>
          <w:i w:val="0"/>
          <w:sz w:val="6"/>
        </w:rPr>
      </w:r>
    </w:p>
    <w:p>
      <w:pPr>
        <w:pStyle w:val="Heading1"/>
      </w:pPr>
      <w:r>
        <w:rPr>
          <w:color w:val="0F3460"/>
        </w:rPr>
        <w:t>Attivazione</w:t>
      </w:r>
    </w:p>
    <w:p>
      <w:pPr>
        <w:spacing w:before="0" w:after="0"/>
      </w:pPr>
      <w:r>
        <w:rPr>
          <w:rFonts w:ascii="PT Sans Narrow" w:hAnsi="PT Sans Narrow"/>
          <w:b w:val="0"/>
          <w:i w:val="0"/>
          <w:sz w:val="4"/>
        </w:rPr>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706"/>
        <w:gridCol w:w="4706"/>
      </w:tblGrid>
      <w:tr>
        <w:tc>
          <w:tcPr>
            <w:tcW w:type="dxa" w:w="567"/>
            <w:shd w:val="clear" w:color="auto" w:fill="3498DB"/>
            <w:tcMar>
              <w:top w:w="60" w:type="dxa"/>
              <w:bottom w:w="60" w:type="dxa"/>
              <w:left w:w="30" w:type="dxa"/>
              <w:right w:w="30" w:type="dxa"/>
            </w:tcMar>
            <w:vAlign w:val="center"/>
          </w:tcPr>
          <w:p>
            <w:pPr>
              <w:spacing w:before="0" w:after="0"/>
              <w:jc w:val="center"/>
            </w:pPr>
            <w:r>
              <w:rPr>
                <w:rFonts w:ascii="PT Sans Narrow" w:hAnsi="PT Sans Narrow"/>
                <w:b/>
                <w:i w:val="0"/>
                <w:color w:val="FFFFFF"/>
                <w:sz w:val="26"/>
              </w:rPr>
              <w:t>01</w:t>
            </w:r>
          </w:p>
        </w:tc>
        <w:tc>
          <w:tcPr>
            <w:tcW w:type="dxa" w:w="8787"/>
            <w:tcMar>
              <w:top w:w="50" w:type="dxa"/>
              <w:bottom w:w="50" w:type="dxa"/>
              <w:left w:w="150" w:type="dxa"/>
              <w:right w:w="60" w:type="dxa"/>
            </w:tcMar>
          </w:tcPr>
          <w:p>
            <w:pPr>
              <w:spacing w:before="0" w:after="40"/>
            </w:pPr>
            <w:r>
              <w:rPr>
                <w:rFonts w:ascii="PT Sans Narrow" w:hAnsi="PT Sans Narrow"/>
                <w:b/>
                <w:i w:val="0"/>
                <w:color w:val="16213E"/>
                <w:sz w:val="25"/>
              </w:rPr>
              <w:t>Predisposizione</w:t>
            </w:r>
          </w:p>
          <w:p>
            <w:pPr>
              <w:spacing w:before="0" w:after="60"/>
            </w:pPr>
            <w:r>
              <w:rPr>
                <w:rFonts w:ascii="PT Sans Narrow" w:hAnsi="PT Sans Narrow"/>
                <w:b w:val="0"/>
                <w:i w:val="0"/>
                <w:color w:val="343A40"/>
                <w:sz w:val="22"/>
              </w:rPr>
              <w:t>Creazione del vostro spazio, inserimento del menu con prezzi e allergeni, orari di ritiro, account per le postazioni.</w:t>
            </w:r>
          </w:p>
          <w:p>
            <w:pPr>
              <w:spacing w:before="0" w:after="60"/>
            </w:pPr>
            <w:r>
              <w:rPr>
                <w:rFonts w:ascii="PT Sans Narrow" w:hAnsi="PT Sans Narrow"/>
                <w:b w:val="0"/>
                <w:i w:val="0"/>
                <w:color w:val="343A40"/>
                <w:sz w:val="22"/>
              </w:rPr>
              <w:t xml:space="preserve">E il lavoro coperto dal </w:t>
            </w:r>
            <w:r>
              <w:rPr>
                <w:rFonts w:ascii="PT Sans Narrow" w:hAnsi="PT Sans Narrow"/>
                <w:b/>
                <w:i w:val="0"/>
                <w:color w:val="16213E"/>
                <w:sz w:val="22"/>
              </w:rPr>
              <w:t>contributo di ingresso di 400,00 €</w:t>
            </w:r>
            <w:r>
              <w:rPr>
                <w:rFonts w:ascii="PT Sans Narrow" w:hAnsi="PT Sans Narrow"/>
                <w:b w:val="0"/>
                <w:i w:val="0"/>
                <w:color w:val="343A40"/>
                <w:sz w:val="22"/>
              </w:rPr>
              <w:t>, che si versa una volta sola.</w:t>
            </w:r>
          </w:p>
        </w:tc>
      </w:tr>
    </w:tbl>
    <w:p>
      <w:pPr>
        <w:spacing w:before="0" w:after="0"/>
      </w:pPr>
      <w:r>
        <w:rPr>
          <w:rFonts w:ascii="PT Sans Narrow" w:hAnsi="PT Sans Narrow"/>
          <w:b w:val="0"/>
          <w:i w:val="0"/>
          <w:sz w:val="6"/>
        </w:rPr>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706"/>
        <w:gridCol w:w="4706"/>
      </w:tblGrid>
      <w:tr>
        <w:tc>
          <w:tcPr>
            <w:tcW w:type="dxa" w:w="567"/>
            <w:shd w:val="clear" w:color="auto" w:fill="3498DB"/>
            <w:tcMar>
              <w:top w:w="60" w:type="dxa"/>
              <w:bottom w:w="60" w:type="dxa"/>
              <w:left w:w="30" w:type="dxa"/>
              <w:right w:w="30" w:type="dxa"/>
            </w:tcMar>
            <w:vAlign w:val="center"/>
          </w:tcPr>
          <w:p>
            <w:pPr>
              <w:spacing w:before="0" w:after="0"/>
              <w:jc w:val="center"/>
            </w:pPr>
            <w:r>
              <w:rPr>
                <w:rFonts w:ascii="PT Sans Narrow" w:hAnsi="PT Sans Narrow"/>
                <w:b/>
                <w:i w:val="0"/>
                <w:color w:val="FFFFFF"/>
                <w:sz w:val="26"/>
              </w:rPr>
              <w:t>02</w:t>
            </w:r>
          </w:p>
        </w:tc>
        <w:tc>
          <w:tcPr>
            <w:tcW w:type="dxa" w:w="8787"/>
            <w:tcMar>
              <w:top w:w="50" w:type="dxa"/>
              <w:bottom w:w="50" w:type="dxa"/>
              <w:left w:w="150" w:type="dxa"/>
              <w:right w:w="60" w:type="dxa"/>
            </w:tcMar>
          </w:tcPr>
          <w:p>
            <w:pPr>
              <w:spacing w:before="0" w:after="40"/>
            </w:pPr>
            <w:r>
              <w:rPr>
                <w:rFonts w:ascii="PT Sans Narrow" w:hAnsi="PT Sans Narrow"/>
                <w:b/>
                <w:i w:val="0"/>
                <w:color w:val="16213E"/>
                <w:sz w:val="25"/>
              </w:rPr>
              <w:t>Prova con il personale</w:t>
            </w:r>
          </w:p>
          <w:p>
            <w:pPr>
              <w:spacing w:before="0" w:after="60"/>
            </w:pPr>
            <w:r>
              <w:rPr>
                <w:rFonts w:ascii="PT Sans Narrow" w:hAnsi="PT Sans Narrow"/>
                <w:b w:val="0"/>
                <w:i w:val="0"/>
                <w:color w:val="343A40"/>
                <w:sz w:val="22"/>
              </w:rPr>
              <w:t>Un turno di prova con cucina e banco sui manuali operativi, per verificare i flussi prima di aprire ai clienti.</w:t>
            </w:r>
          </w:p>
        </w:tc>
      </w:tr>
    </w:tbl>
    <w:p>
      <w:pPr>
        <w:spacing w:before="0" w:after="0"/>
      </w:pPr>
      <w:r>
        <w:rPr>
          <w:rFonts w:ascii="PT Sans Narrow" w:hAnsi="PT Sans Narrow"/>
          <w:b w:val="0"/>
          <w:i w:val="0"/>
          <w:sz w:val="6"/>
        </w:rPr>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706"/>
        <w:gridCol w:w="4706"/>
      </w:tblGrid>
      <w:tr>
        <w:tc>
          <w:tcPr>
            <w:tcW w:type="dxa" w:w="567"/>
            <w:shd w:val="clear" w:color="auto" w:fill="3498DB"/>
            <w:tcMar>
              <w:top w:w="60" w:type="dxa"/>
              <w:bottom w:w="60" w:type="dxa"/>
              <w:left w:w="30" w:type="dxa"/>
              <w:right w:w="30" w:type="dxa"/>
            </w:tcMar>
            <w:vAlign w:val="center"/>
          </w:tcPr>
          <w:p>
            <w:pPr>
              <w:spacing w:before="0" w:after="0"/>
              <w:jc w:val="center"/>
            </w:pPr>
            <w:r>
              <w:rPr>
                <w:rFonts w:ascii="PT Sans Narrow" w:hAnsi="PT Sans Narrow"/>
                <w:b/>
                <w:i w:val="0"/>
                <w:color w:val="FFFFFF"/>
                <w:sz w:val="26"/>
              </w:rPr>
              <w:t>03</w:t>
            </w:r>
          </w:p>
        </w:tc>
        <w:tc>
          <w:tcPr>
            <w:tcW w:type="dxa" w:w="8787"/>
            <w:tcMar>
              <w:top w:w="50" w:type="dxa"/>
              <w:bottom w:w="50" w:type="dxa"/>
              <w:left w:w="150" w:type="dxa"/>
              <w:right w:w="60" w:type="dxa"/>
            </w:tcMar>
          </w:tcPr>
          <w:p>
            <w:pPr>
              <w:spacing w:before="0" w:after="40"/>
            </w:pPr>
            <w:r>
              <w:rPr>
                <w:rFonts w:ascii="PT Sans Narrow" w:hAnsi="PT Sans Narrow"/>
                <w:b/>
                <w:i w:val="0"/>
                <w:color w:val="16213E"/>
                <w:sz w:val="25"/>
              </w:rPr>
              <w:t>Apertura ai clienti</w:t>
            </w:r>
          </w:p>
          <w:p>
            <w:pPr>
              <w:spacing w:before="0" w:after="60"/>
            </w:pPr>
            <w:r>
              <w:rPr>
                <w:rFonts w:ascii="PT Sans Narrow" w:hAnsi="PT Sans Narrow"/>
                <w:b w:val="0"/>
                <w:i w:val="0"/>
                <w:color w:val="343A40"/>
                <w:sz w:val="22"/>
              </w:rPr>
              <w:t>Affissione del QR di registrazione e primi crediti in cassa. Dal primo ordine il servizio e a regime.</w:t>
            </w:r>
          </w:p>
        </w:tc>
      </w:tr>
    </w:tbl>
    <w:p>
      <w:pPr>
        <w:spacing w:before="0" w:after="0"/>
      </w:pPr>
      <w:r>
        <w:rPr>
          <w:rFonts w:ascii="PT Sans Narrow" w:hAnsi="PT Sans Narrow"/>
          <w:b w:val="0"/>
          <w:i w:val="0"/>
          <w:sz w:val="6"/>
        </w:rPr>
      </w:r>
    </w:p>
    <w:p>
      <w:pPr>
        <w:spacing w:before="0" w:after="0"/>
      </w:pPr>
      <w:r>
        <w:rPr>
          <w:rFonts w:ascii="PT Sans Narrow" w:hAnsi="PT Sans Narrow"/>
          <w:b w:val="0"/>
          <w:i w:val="0"/>
          <w:sz w:val="6"/>
        </w:rPr>
      </w:r>
    </w:p>
    <w:p>
      <w:pPr>
        <w:spacing w:before="0" w:after="0"/>
      </w:pPr>
      <w:r>
        <w:br w:type="page"/>
      </w:r>
    </w:p>
    <w:p>
      <w:pPr>
        <w:pStyle w:val="Heading1"/>
        <w:spacing w:before="0"/>
      </w:pPr>
      <w:r>
        <w:rPr>
          <w:color w:val="0F3460"/>
        </w:rPr>
        <w:t>Condizioni contrattuali</w:t>
      </w:r>
    </w:p>
    <w:p>
      <w:pPr>
        <w:spacing w:before="0" w:after="120"/>
      </w:pPr>
      <w:r>
        <w:rPr>
          <w:rFonts w:ascii="PT Sans Narrow" w:hAnsi="PT Sans Narrow"/>
          <w:b w:val="0"/>
          <w:i w:val="0"/>
          <w:color w:val="6C757D"/>
          <w:sz w:val="23"/>
        </w:rPr>
        <w:t>Le condizioni che regolano il servizio. Quanto non previsto qui sara' disciplinato dal contratto di abbonamento sottoscritto all'attivazione.</w:t>
      </w:r>
    </w:p>
    <w:p>
      <w:pPr>
        <w:spacing w:before="0" w:after="0"/>
      </w:pPr>
      <w:r>
        <w:rPr>
          <w:rFonts w:ascii="PT Sans Narrow" w:hAnsi="PT Sans Narrow"/>
          <w:b w:val="0"/>
          <w:i w:val="0"/>
          <w:sz w:val="4"/>
        </w:rPr>
      </w:r>
    </w:p>
    <w:p>
      <w:pPr>
        <w:spacing w:before="0" w:after="120"/>
      </w:pPr>
      <w:r>
        <w:rPr>
          <w:rFonts w:ascii="PT Sans Narrow" w:hAnsi="PT Sans Narrow"/>
          <w:b/>
          <w:i w:val="0"/>
          <w:color w:val="16213E"/>
          <w:sz w:val="22"/>
        </w:rPr>
        <w:t xml:space="preserve">Corrispettivi.  </w:t>
      </w:r>
      <w:r>
        <w:rPr>
          <w:rFonts w:ascii="PT Sans Narrow" w:hAnsi="PT Sans Narrow"/>
          <w:b w:val="0"/>
          <w:i w:val="0"/>
          <w:color w:val="343A40"/>
          <w:sz w:val="22"/>
        </w:rPr>
        <w:t>Contributo di ingresso di 400,00 €, una tantum, fatturato all'attivazione. Canone di 40,00 € al mese per singolo locale. Quota del 3,5% sull'imponibile del venduto, calcolata come descritto in questa offerta. Importi al netto di IVA di legge.</w:t>
      </w:r>
    </w:p>
    <w:p>
      <w:pPr>
        <w:spacing w:before="0" w:after="120"/>
      </w:pPr>
      <w:r>
        <w:rPr>
          <w:rFonts w:ascii="PT Sans Narrow" w:hAnsi="PT Sans Narrow"/>
          <w:b/>
          <w:i w:val="0"/>
          <w:color w:val="16213E"/>
          <w:sz w:val="22"/>
        </w:rPr>
        <w:t xml:space="preserve">Durata e rinnovo.  </w:t>
      </w:r>
      <w:r>
        <w:rPr>
          <w:rFonts w:ascii="PT Sans Narrow" w:hAnsi="PT Sans Narrow"/>
          <w:b w:val="0"/>
          <w:i w:val="0"/>
          <w:color w:val="343A40"/>
          <w:sz w:val="22"/>
        </w:rPr>
        <w:t>Il servizio ha durata di 12 mesi dall'attivazione e si rinnova tacitamente di 12 mesi in 12 mesi, salvo disdetta di una delle parti con preavviso scritto di 60 giorni.</w:t>
      </w:r>
    </w:p>
    <w:p>
      <w:pPr>
        <w:spacing w:before="0" w:after="120"/>
      </w:pPr>
      <w:r>
        <w:rPr>
          <w:rFonts w:ascii="PT Sans Narrow" w:hAnsi="PT Sans Narrow"/>
          <w:b/>
          <w:i w:val="0"/>
          <w:color w:val="16213E"/>
          <w:sz w:val="22"/>
        </w:rPr>
        <w:t xml:space="preserve">Periodo di prova.  </w:t>
      </w:r>
      <w:r>
        <w:rPr>
          <w:rFonts w:ascii="PT Sans Narrow" w:hAnsi="PT Sans Narrow"/>
          <w:b w:val="0"/>
          <w:i w:val="0"/>
          <w:color w:val="343A40"/>
          <w:sz w:val="22"/>
        </w:rPr>
        <w:t>Nei primi 60 giorni dall'attivazione il cliente puo' recedere in qualsiasi momento, senza preavviso e senza penali, corrispondendo i soli canoni e quote maturati fino a quel giorno. Il contributo di ingresso, che copre il lavoro di predisposizione gia' svolto, resta acquisito.</w:t>
      </w:r>
    </w:p>
    <w:p>
      <w:pPr>
        <w:spacing w:before="0" w:after="120"/>
      </w:pPr>
      <w:r>
        <w:rPr>
          <w:rFonts w:ascii="PT Sans Narrow" w:hAnsi="PT Sans Narrow"/>
          <w:b/>
          <w:i w:val="0"/>
          <w:color w:val="16213E"/>
          <w:sz w:val="22"/>
        </w:rPr>
        <w:t xml:space="preserve">Recesso.  </w:t>
      </w:r>
      <w:r>
        <w:rPr>
          <w:rFonts w:ascii="PT Sans Narrow" w:hAnsi="PT Sans Narrow"/>
          <w:b w:val="0"/>
          <w:i w:val="0"/>
          <w:color w:val="343A40"/>
          <w:sz w:val="22"/>
        </w:rPr>
        <w:t>Superato il periodo di prova, il cliente puo' recedere in qualsiasi momento con preavviso scritto di 60 giorni, senza penali. Alla cessazione viene consegnato l'archivio completo dei dati.</w:t>
      </w:r>
    </w:p>
    <w:p>
      <w:pPr>
        <w:spacing w:before="0" w:after="120"/>
      </w:pPr>
      <w:r>
        <w:rPr>
          <w:rFonts w:ascii="PT Sans Narrow" w:hAnsi="PT Sans Narrow"/>
          <w:b/>
          <w:i w:val="0"/>
          <w:color w:val="16213E"/>
          <w:sz w:val="22"/>
        </w:rPr>
        <w:t xml:space="preserve">Fatturazione e pagamenti.  </w:t>
      </w:r>
      <w:r>
        <w:rPr>
          <w:rFonts w:ascii="PT Sans Narrow" w:hAnsi="PT Sans Narrow"/>
          <w:b w:val="0"/>
          <w:i w:val="0"/>
          <w:color w:val="343A40"/>
          <w:sz w:val="22"/>
        </w:rPr>
        <w:t>Canone e quota sono fatturati mensilmente, a mese concluso, sulla base del prospetto consultabile nell'applicazione. Pagamento a 30 giorni data fattura, tramite bonifico bancario.</w:t>
      </w:r>
    </w:p>
    <w:p>
      <w:pPr>
        <w:spacing w:before="0" w:after="120"/>
      </w:pPr>
      <w:r>
        <w:rPr>
          <w:rFonts w:ascii="PT Sans Narrow" w:hAnsi="PT Sans Narrow"/>
          <w:b/>
          <w:i w:val="0"/>
          <w:color w:val="16213E"/>
          <w:sz w:val="22"/>
        </w:rPr>
        <w:t xml:space="preserve">Assistenza.  </w:t>
      </w:r>
      <w:r>
        <w:rPr>
          <w:rFonts w:ascii="PT Sans Narrow" w:hAnsi="PT Sans Narrow"/>
          <w:b w:val="0"/>
          <w:i w:val="0"/>
          <w:color w:val="343A40"/>
          <w:sz w:val="22"/>
        </w:rPr>
        <w:t>Assistenza inclusa nel canone, nei giorni feriali dalle 9:00 alle 18:00, per email e telefono. I malfunzionamenti che impediscono di lavorare vengono presi in carico entro 4 ore lavorative; gli altri entro il giorno lavorativo successivo.</w:t>
      </w:r>
    </w:p>
    <w:p>
      <w:pPr>
        <w:spacing w:before="0" w:after="120"/>
      </w:pPr>
      <w:r>
        <w:rPr>
          <w:rFonts w:ascii="PT Sans Narrow" w:hAnsi="PT Sans Narrow"/>
          <w:b/>
          <w:i w:val="0"/>
          <w:color w:val="16213E"/>
          <w:sz w:val="22"/>
        </w:rPr>
        <w:t xml:space="preserve">Dati personali.  </w:t>
      </w:r>
      <w:r>
        <w:rPr>
          <w:rFonts w:ascii="PT Sans Narrow" w:hAnsi="PT Sans Narrow"/>
          <w:b w:val="0"/>
          <w:i w:val="0"/>
          <w:color w:val="343A40"/>
          <w:sz w:val="22"/>
        </w:rPr>
        <w:t>Il locale e' titolare del trattamento dei dati dei propri clienti; DS Consulting agisce come responsabile del trattamento ai sensi dell'art. 28 del GDPR, con nomina contestuale al contratto. Alla cessazione del servizio i dati vengono consegnati al cliente in formato aperto e cancellati dai sistemi entro 30 giorni.</w:t>
      </w:r>
    </w:p>
    <w:p>
      <w:pPr>
        <w:spacing w:before="0" w:after="120"/>
      </w:pPr>
      <w:r>
        <w:rPr>
          <w:rFonts w:ascii="PT Sans Narrow" w:hAnsi="PT Sans Narrow"/>
          <w:b/>
          <w:i w:val="0"/>
          <w:color w:val="16213E"/>
          <w:sz w:val="22"/>
        </w:rPr>
        <w:t xml:space="preserve">Adeguamento dei corrispettivi.  </w:t>
      </w:r>
      <w:r>
        <w:rPr>
          <w:rFonts w:ascii="PT Sans Narrow" w:hAnsi="PT Sans Narrow"/>
          <w:b w:val="0"/>
          <w:i w:val="0"/>
          <w:color w:val="343A40"/>
          <w:sz w:val="22"/>
        </w:rPr>
        <w:t>Canone e contributo possono essere aggiornati una volta l'anno sulla base dell'indice ISTAT FOI, con comunicazione scritta almeno 60 giorni prima. La quota percentuale resta quella pattuita.</w:t>
      </w:r>
    </w:p>
    <w:p>
      <w:pPr>
        <w:spacing w:before="0" w:after="120"/>
      </w:pPr>
      <w:r>
        <w:rPr>
          <w:rFonts w:ascii="PT Sans Narrow" w:hAnsi="PT Sans Narrow"/>
          <w:b/>
          <w:i w:val="0"/>
          <w:color w:val="16213E"/>
          <w:sz w:val="22"/>
        </w:rPr>
        <w:t xml:space="preserve">Referenti.  </w:t>
      </w:r>
      <w:r>
        <w:rPr>
          <w:rFonts w:ascii="PT Sans Narrow" w:hAnsi="PT Sans Narrow"/>
          <w:b w:val="0"/>
          <w:i w:val="0"/>
          <w:color w:val="343A40"/>
          <w:sz w:val="22"/>
        </w:rPr>
        <w:t>Per DS Consulting il referente e' Daniele Speziale (dspeziale@gmail.com, cell. +39 352 0150489). Il cliente indica il proprio referente operativo e amministrativo all'attivazione.</w:t>
      </w:r>
    </w:p>
    <w:p>
      <w:pPr>
        <w:spacing w:before="0" w:after="0"/>
      </w:pPr>
      <w:r>
        <w:rPr>
          <w:rFonts w:ascii="PT Sans Narrow" w:hAnsi="PT Sans Narrow"/>
          <w:b w:val="0"/>
          <w:i w:val="0"/>
          <w:sz w:val="8"/>
        </w:rPr>
      </w:r>
    </w:p>
    <w:p>
      <w:pPr>
        <w:pStyle w:val="Heading1"/>
      </w:pPr>
      <w:r>
        <w:rPr>
          <w:color w:val="0F3460"/>
        </w:rPr>
        <w:t>Validita' e accettazione</w:t>
      </w:r>
    </w:p>
    <w:p>
      <w:pPr>
        <w:spacing w:before="0" w:after="120"/>
      </w:pPr>
      <w:r>
        <w:rPr>
          <w:rFonts w:ascii="PT Sans Narrow" w:hAnsi="PT Sans Narrow"/>
          <w:b w:val="0"/>
          <w:i w:val="0"/>
          <w:color w:val="343A40"/>
          <w:sz w:val="23"/>
        </w:rPr>
        <w:t>La presente offerta e' valida per 30 giorni dalla data di emissione. Per accettazione, restituire una copia firmata: l'attivazione viene pianificata entro 10 giorni lavorativi dalla ricezione.</w:t>
      </w:r>
    </w:p>
    <w:p>
      <w:pPr>
        <w:spacing w:before="0" w:after="0"/>
      </w:pPr>
      <w:r>
        <w:rPr>
          <w:rFonts w:ascii="PT Sans Narrow" w:hAnsi="PT Sans Narrow"/>
          <w:b w:val="0"/>
          <w:i w:val="0"/>
          <w:sz w:val="14"/>
        </w:rPr>
      </w:r>
    </w:p>
    <w:tbl>
      <w:tblPr>
        <w:tblW w:type="auto" w:w="0"/>
        <w:tblLook w:firstColumn="1" w:firstRow="1" w:lastColumn="0" w:lastRow="0" w:noHBand="0" w:noVBand="1" w:val="04A0"/>
        <w:tblBorders>
          <w:top w:val="nil"/>
          <w:left w:val="nil"/>
          <w:bottom w:val="nil"/>
          <w:right w:val="nil"/>
          <w:insideH w:val="nil"/>
          <w:insideV w:val="nil"/>
        </w:tblBorders>
      </w:tblPr>
      <w:tblGrid>
        <w:gridCol w:w="4706"/>
        <w:gridCol w:w="4706"/>
      </w:tblGrid>
      <w:tr>
        <w:tc>
          <w:tcPr>
            <w:tcW w:type="dxa" w:w="4649"/>
            <w:tcMar>
              <w:top w:w="60" w:type="dxa"/>
              <w:bottom w:w="60" w:type="dxa"/>
              <w:left w:w="120" w:type="dxa"/>
              <w:right w:w="120" w:type="dxa"/>
            </w:tcMar>
          </w:tcPr>
          <w:p>
            <w:pPr>
              <w:spacing w:before="0" w:after="40"/>
            </w:pPr>
            <w:r>
              <w:rPr>
                <w:rFonts w:ascii="PT Sans Narrow" w:hAnsi="PT Sans Narrow"/>
                <w:b/>
                <w:i w:val="0"/>
                <w:color w:val="0F3460"/>
                <w:sz w:val="20"/>
              </w:rPr>
              <w:t>DS CONSULTING</w:t>
            </w:r>
          </w:p>
          <w:p>
            <w:pPr>
              <w:spacing w:before="320" w:after="0"/>
            </w:pPr>
            <w:r>
              <w:rPr>
                <w:rFonts w:ascii="PT Sans Narrow" w:hAnsi="PT Sans Narrow"/>
                <w:b w:val="0"/>
                <w:i w:val="0"/>
                <w:color w:val="6C757D"/>
                <w:sz w:val="20"/>
              </w:rPr>
              <w:t xml:space="preserve">Data  </w:t>
            </w:r>
            <w:r>
              <w:rPr>
                <w:rFonts w:ascii="PT Sans Narrow" w:hAnsi="PT Sans Narrow"/>
                <w:b w:val="0"/>
                <w:i w:val="0"/>
                <w:color w:val="6C757D"/>
                <w:sz w:val="20"/>
              </w:rPr>
              <w:t>__________________________________</w:t>
            </w:r>
          </w:p>
          <w:p>
            <w:pPr>
              <w:spacing w:before="320" w:after="0"/>
            </w:pPr>
            <w:r>
              <w:rPr>
                <w:rFonts w:ascii="PT Sans Narrow" w:hAnsi="PT Sans Narrow"/>
                <w:b w:val="0"/>
                <w:i w:val="0"/>
                <w:color w:val="6C757D"/>
                <w:sz w:val="20"/>
              </w:rPr>
              <w:t xml:space="preserve">Timbro e firma  </w:t>
            </w:r>
            <w:r>
              <w:rPr>
                <w:rFonts w:ascii="PT Sans Narrow" w:hAnsi="PT Sans Narrow"/>
                <w:b w:val="0"/>
                <w:i w:val="0"/>
                <w:color w:val="6C757D"/>
                <w:sz w:val="20"/>
              </w:rPr>
              <w:t>__________________________________</w:t>
            </w:r>
          </w:p>
        </w:tc>
        <w:tc>
          <w:tcPr>
            <w:tcW w:type="dxa" w:w="4649"/>
            <w:tcMar>
              <w:top w:w="60" w:type="dxa"/>
              <w:bottom w:w="60" w:type="dxa"/>
              <w:left w:w="120" w:type="dxa"/>
              <w:right w:w="120" w:type="dxa"/>
            </w:tcMar>
          </w:tcPr>
          <w:p>
            <w:pPr>
              <w:spacing w:before="0" w:after="40"/>
            </w:pPr>
            <w:r>
              <w:rPr>
                <w:rFonts w:ascii="PT Sans Narrow" w:hAnsi="PT Sans Narrow"/>
                <w:b/>
                <w:i w:val="0"/>
                <w:color w:val="0F3460"/>
                <w:sz w:val="20"/>
              </w:rPr>
              <w:t>IL CLIENTE,</w:t>
            </w:r>
          </w:p>
          <w:p>
            <w:pPr>
              <w:spacing w:before="0" w:after="40"/>
            </w:pPr>
            <w:r>
              <w:rPr>
                <w:rFonts w:ascii="PT Sans Narrow" w:hAnsi="PT Sans Narrow"/>
                <w:b/>
                <w:i w:val="0"/>
                <w:color w:val="0F3460"/>
                <w:sz w:val="20"/>
              </w:rPr>
              <w:t>PER ACCETTAZIONE</w:t>
            </w:r>
          </w:p>
          <w:p>
            <w:pPr>
              <w:spacing w:before="320" w:after="0"/>
            </w:pPr>
            <w:r>
              <w:rPr>
                <w:rFonts w:ascii="PT Sans Narrow" w:hAnsi="PT Sans Narrow"/>
                <w:b w:val="0"/>
                <w:i w:val="0"/>
                <w:color w:val="6C757D"/>
                <w:sz w:val="20"/>
              </w:rPr>
              <w:t xml:space="preserve">Data  </w:t>
            </w:r>
            <w:r>
              <w:rPr>
                <w:rFonts w:ascii="PT Sans Narrow" w:hAnsi="PT Sans Narrow"/>
                <w:b w:val="0"/>
                <w:i w:val="0"/>
                <w:color w:val="6C757D"/>
                <w:sz w:val="20"/>
              </w:rPr>
              <w:t>__________________________________</w:t>
            </w:r>
          </w:p>
          <w:p>
            <w:pPr>
              <w:spacing w:before="320" w:after="0"/>
            </w:pPr>
            <w:r>
              <w:rPr>
                <w:rFonts w:ascii="PT Sans Narrow" w:hAnsi="PT Sans Narrow"/>
                <w:b w:val="0"/>
                <w:i w:val="0"/>
                <w:color w:val="6C757D"/>
                <w:sz w:val="20"/>
              </w:rPr>
              <w:t xml:space="preserve">Timbro e firma  </w:t>
            </w:r>
            <w:r>
              <w:rPr>
                <w:rFonts w:ascii="PT Sans Narrow" w:hAnsi="PT Sans Narrow"/>
                <w:b w:val="0"/>
                <w:i w:val="0"/>
                <w:color w:val="6C757D"/>
                <w:sz w:val="20"/>
              </w:rPr>
              <w:t>__________________________________</w:t>
            </w:r>
          </w:p>
        </w:tc>
      </w:tr>
    </w:tbl>
    <w:p>
      <w:pPr>
        <w:spacing w:before="0" w:after="0"/>
      </w:pPr>
      <w:r>
        <w:rPr>
          <w:rFonts w:ascii="PT Sans Narrow" w:hAnsi="PT Sans Narrow"/>
          <w:b w:val="0"/>
          <w:i w:val="0"/>
          <w:sz w:val="12"/>
        </w:rPr>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tcBorders>
              <w:top w:val="nil"/>
              <w:bottom w:val="single" w:sz="8" w:space="0" w:color="0F3460"/>
              <w:left w:val="nil"/>
              <w:right w:val="nil"/>
            </w:tcBorders>
            <w:tcMar>
              <w:top w:w="0" w:type="dxa"/>
              <w:bottom w:w="0" w:type="dxa"/>
              <w:left w:w="0" w:type="dxa"/>
              <w:right w:w="0" w:type="dxa"/>
            </w:tcMar>
          </w:tcPr>
          <w:p>
            <w:pPr>
              <w:spacing w:before="0" w:after="0"/>
            </w:pPr>
            <w:r>
              <w:rPr>
                <w:rFonts w:ascii="PT Sans Narrow" w:hAnsi="PT Sans Narrow"/>
                <w:b w:val="0"/>
                <w:i w:val="0"/>
                <w:sz w:val="2"/>
              </w:rPr>
            </w:r>
          </w:p>
        </w:tc>
      </w:tr>
    </w:tbl>
    <w:p>
      <w:pPr>
        <w:spacing w:before="0" w:after="0"/>
      </w:pPr>
      <w:r>
        <w:rPr>
          <w:rFonts w:ascii="PT Sans Narrow" w:hAnsi="PT Sans Narrow"/>
          <w:b w:val="0"/>
          <w:i w:val="0"/>
          <w:sz w:val="8"/>
        </w:rPr>
      </w:r>
    </w:p>
    <w:p>
      <w:pPr>
        <w:spacing w:before="0" w:after="40"/>
      </w:pPr>
      <w:r>
        <w:rPr>
          <w:rFonts w:ascii="PT Sans Narrow" w:hAnsi="PT Sans Narrow"/>
          <w:b w:val="0"/>
          <w:i w:val="0"/>
          <w:color w:val="6C757D"/>
          <w:sz w:val="19"/>
        </w:rPr>
        <w:t>Offerta valida 30 giorni dalla data di emissione. Gli importi sono al netto di IVA di legge.</w:t>
      </w:r>
    </w:p>
    <w:p>
      <w:pPr>
        <w:spacing w:before="0" w:after="120"/>
      </w:pPr>
      <w:r>
        <w:rPr>
          <w:rFonts w:ascii="PT Sans Narrow" w:hAnsi="PT Sans Narrow"/>
          <w:b w:val="0"/>
          <w:i w:val="0"/>
          <w:color w:val="6C757D"/>
          <w:sz w:val="19"/>
        </w:rPr>
        <w:t>QuickLunch · © 2024–26 DS Consulting</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PT Sans Narrow" w:hAnsi="PT Sans Narrow" w:eastAsia="PT Sans Narrow" w:cs="PT Sans Narrow"/>
      <w:color w:val="343A4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PT Sans Narrow" w:hAnsi="PT Sans Narrow"/>
      <w:b/>
      <w:bCs/>
      <w:color w:val="0F3460"/>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PT Sans Narrow" w:hAnsi="PT Sans Narrow"/>
      <w:b/>
      <w:bCs/>
      <w:color w:val="0F3460"/>
      <w:sz w:val="31"/>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PT Sans Narrow" w:hAnsi="PT Sans Narrow"/>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QuickLunch">
    <w:name w:val="Nota QuickLunch"/>
    <w:basedOn w:val="Normal"/>
    <w:rPr>
      <w:rFonts w:ascii="PT Sans Narrow" w:hAnsi="PT Sans Narrow"/>
      <w:color w:val="6C757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