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color w:val="17365D"/>
          <w:sz w:val="60"/>
        </w:rPr>
        <w:t>DOUBTBUSTER</w:t>
      </w:r>
    </w:p>
    <w:p>
      <w:pPr>
        <w:spacing w:after="120"/>
        <w:jc w:val="center"/>
      </w:pPr>
      <w:r>
        <w:rPr>
          <w:rFonts w:ascii="Times New Roman" w:hAnsi="Times New Roman"/>
          <w:b/>
          <w:sz w:val="28"/>
        </w:rPr>
        <w:t>PROJECT TEAM MEMBERS</w:t>
      </w:r>
    </w:p>
    <w:p>
      <w:pPr>
        <w:spacing w:after="120"/>
        <w:jc w:val="center"/>
      </w:pPr>
      <w:r>
        <w:rPr>
          <w:rFonts w:ascii="Times New Roman" w:hAnsi="Times New Roman"/>
          <w:b w:val="0"/>
          <w:sz w:val="24"/>
        </w:rPr>
        <w:t>P. Krishna Vamsi  |  23341A05I1</w:t>
      </w:r>
    </w:p>
    <w:p>
      <w:pPr>
        <w:spacing w:after="120"/>
        <w:jc w:val="center"/>
      </w:pPr>
      <w:r>
        <w:rPr>
          <w:rFonts w:ascii="Times New Roman" w:hAnsi="Times New Roman"/>
          <w:b w:val="0"/>
          <w:sz w:val="24"/>
        </w:rPr>
        <w:t>D. Sai Praneeth Naidu  |  23341A0570</w:t>
      </w:r>
    </w:p>
    <w:p>
      <w:pPr>
        <w:spacing w:after="120"/>
        <w:jc w:val="center"/>
      </w:pPr>
      <w:r>
        <w:rPr>
          <w:rFonts w:ascii="Times New Roman" w:hAnsi="Times New Roman"/>
          <w:b w:val="0"/>
          <w:sz w:val="24"/>
        </w:rPr>
        <w:t>M. Shanmukha Rao (Team Leader)  |  24345A0523</w:t>
      </w:r>
    </w:p>
    <w:p>
      <w:pPr>
        <w:spacing w:line="360" w:lineRule="auto" w:after="120"/>
        <w:jc w:val="center"/>
      </w:pPr>
      <w:r>
        <w:rPr>
          <w:b/>
          <w:sz w:val="38"/>
        </w:rPr>
        <w:t>DETAILED PROJECT DOCUMENTATION</w:t>
      </w:r>
    </w:p>
    <w:p>
      <w:pPr>
        <w:spacing w:line="360" w:lineRule="auto" w:after="120"/>
        <w:jc w:val="center"/>
      </w:pPr>
      <w:r>
        <w:rPr>
          <w:i/>
          <w:sz w:val="24"/>
        </w:rPr>
        <w:t>GMRIT Student Doubt-Solving AI Tutor</w:t>
      </w:r>
    </w:p>
    <w:p>
      <w:pPr>
        <w:spacing w:line="360" w:lineRule="auto" w:after="120"/>
      </w:pPr>
      <w:r>
        <w:br/>
      </w:r>
    </w:p>
    <w:p>
      <w:pPr>
        <w:spacing w:line="360" w:lineRule="auto" w:after="120"/>
        <w:jc w:val="center"/>
      </w:pPr>
      <w:r>
        <w:rPr>
          <w:sz w:val="22"/>
        </w:rPr>
        <w:t>Prepared from the supplied DoubtBuster source-code archive</w:t>
      </w:r>
    </w:p>
    <w:p>
      <w:pPr>
        <w:spacing w:line="360" w:lineRule="auto" w:after="120"/>
        <w:jc w:val="center"/>
      </w:pPr>
      <w:r>
        <w:rPr>
          <w:sz w:val="20"/>
        </w:rPr>
        <w:t>Expanded technical, functional, implementation, testing and user documentation</w:t>
      </w:r>
    </w:p>
    <w:p>
      <w:pPr>
        <w:spacing w:line="360" w:lineRule="auto" w:after="120"/>
      </w:pPr>
      <w:r>
        <w:br/>
        <w:br/>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tcPr>
          <w:p>
            <w:pPr>
              <w:spacing w:line="276" w:lineRule="auto" w:after="40"/>
            </w:pPr>
            <w:r>
              <w:rPr>
                <w:rFonts w:ascii="Times New Roman" w:hAnsi="Times New Roman"/>
                <w:sz w:val="20"/>
              </w:rPr>
              <w:t>Document detail</w:t>
            </w:r>
          </w:p>
        </w:tc>
        <w:tc>
          <w:tcPr>
            <w:tcW w:type="dxa" w:w="5083"/>
          </w:tcPr>
          <w:p>
            <w:pPr>
              <w:spacing w:line="276" w:lineRule="auto" w:after="40"/>
            </w:pPr>
            <w:r>
              <w:rPr>
                <w:rFonts w:ascii="Times New Roman" w:hAnsi="Times New Roman"/>
                <w:sz w:val="20"/>
              </w:rPr>
              <w:t>Value</w:t>
            </w:r>
          </w:p>
        </w:tc>
      </w:tr>
      <w:tr>
        <w:tc>
          <w:tcPr>
            <w:tcW w:type="dxa" w:w="5083"/>
            <w:vAlign w:val="center"/>
          </w:tcPr>
          <w:p>
            <w:pPr>
              <w:spacing w:line="276" w:lineRule="auto" w:after="40"/>
            </w:pPr>
            <w:r>
              <w:rPr>
                <w:rFonts w:ascii="Times New Roman" w:hAnsi="Times New Roman"/>
                <w:sz w:val="20"/>
              </w:rPr>
              <w:t>Project name</w:t>
            </w:r>
          </w:p>
        </w:tc>
        <w:tc>
          <w:tcPr>
            <w:tcW w:type="dxa" w:w="5083"/>
            <w:vAlign w:val="center"/>
          </w:tcPr>
          <w:p>
            <w:pPr>
              <w:spacing w:line="276" w:lineRule="auto" w:after="40"/>
            </w:pPr>
            <w:r>
              <w:rPr>
                <w:rFonts w:ascii="Times New Roman" w:hAnsi="Times New Roman"/>
                <w:sz w:val="20"/>
              </w:rPr>
              <w:t>DoubtBuster</w:t>
            </w:r>
          </w:p>
        </w:tc>
      </w:tr>
      <w:tr>
        <w:tc>
          <w:tcPr>
            <w:tcW w:type="dxa" w:w="5083"/>
            <w:vAlign w:val="center"/>
          </w:tcPr>
          <w:p>
            <w:pPr>
              <w:spacing w:line="276" w:lineRule="auto" w:after="40"/>
            </w:pPr>
            <w:r>
              <w:rPr>
                <w:rFonts w:ascii="Times New Roman" w:hAnsi="Times New Roman"/>
                <w:sz w:val="20"/>
              </w:rPr>
              <w:t>Application type</w:t>
            </w:r>
          </w:p>
        </w:tc>
        <w:tc>
          <w:tcPr>
            <w:tcW w:type="dxa" w:w="5083"/>
            <w:vAlign w:val="center"/>
          </w:tcPr>
          <w:p>
            <w:pPr>
              <w:spacing w:line="276" w:lineRule="auto" w:after="40"/>
            </w:pPr>
            <w:r>
              <w:rPr>
                <w:rFonts w:ascii="Times New Roman" w:hAnsi="Times New Roman"/>
                <w:sz w:val="20"/>
              </w:rPr>
              <w:t>Streamlit-based educational support application</w:t>
            </w:r>
          </w:p>
        </w:tc>
      </w:tr>
      <w:tr>
        <w:tc>
          <w:tcPr>
            <w:tcW w:type="dxa" w:w="5083"/>
            <w:vAlign w:val="center"/>
          </w:tcPr>
          <w:p>
            <w:pPr>
              <w:spacing w:line="276" w:lineRule="auto" w:after="40"/>
            </w:pPr>
            <w:r>
              <w:rPr>
                <w:rFonts w:ascii="Times New Roman" w:hAnsi="Times New Roman"/>
                <w:sz w:val="20"/>
              </w:rPr>
              <w:t>Primary language</w:t>
            </w:r>
          </w:p>
        </w:tc>
        <w:tc>
          <w:tcPr>
            <w:tcW w:type="dxa" w:w="5083"/>
            <w:vAlign w:val="center"/>
          </w:tcPr>
          <w:p>
            <w:pPr>
              <w:spacing w:line="276" w:lineRule="auto" w:after="40"/>
            </w:pPr>
            <w:r>
              <w:rPr>
                <w:rFonts w:ascii="Times New Roman" w:hAnsi="Times New Roman"/>
                <w:sz w:val="20"/>
              </w:rPr>
              <w:t>Python</w:t>
            </w:r>
          </w:p>
        </w:tc>
      </w:tr>
      <w:tr>
        <w:tc>
          <w:tcPr>
            <w:tcW w:type="dxa" w:w="5083"/>
            <w:vAlign w:val="center"/>
          </w:tcPr>
          <w:p>
            <w:pPr>
              <w:spacing w:line="276" w:lineRule="auto" w:after="40"/>
            </w:pPr>
            <w:r>
              <w:rPr>
                <w:rFonts w:ascii="Times New Roman" w:hAnsi="Times New Roman"/>
                <w:sz w:val="20"/>
              </w:rPr>
              <w:t>Persistence</w:t>
            </w:r>
          </w:p>
        </w:tc>
        <w:tc>
          <w:tcPr>
            <w:tcW w:type="dxa" w:w="5083"/>
            <w:vAlign w:val="center"/>
          </w:tcPr>
          <w:p>
            <w:pPr>
              <w:spacing w:line="276" w:lineRule="auto" w:after="40"/>
            </w:pPr>
            <w:r>
              <w:rPr>
                <w:rFonts w:ascii="Times New Roman" w:hAnsi="Times New Roman"/>
                <w:sz w:val="20"/>
              </w:rPr>
              <w:t>SQLite database</w:t>
            </w:r>
          </w:p>
        </w:tc>
      </w:tr>
      <w:tr>
        <w:tc>
          <w:tcPr>
            <w:tcW w:type="dxa" w:w="5083"/>
            <w:vAlign w:val="center"/>
          </w:tcPr>
          <w:p>
            <w:pPr>
              <w:spacing w:line="276" w:lineRule="auto" w:after="40"/>
            </w:pPr>
            <w:r>
              <w:rPr>
                <w:rFonts w:ascii="Times New Roman" w:hAnsi="Times New Roman"/>
                <w:sz w:val="20"/>
              </w:rPr>
              <w:t>Documentation basis</w:t>
            </w:r>
          </w:p>
        </w:tc>
        <w:tc>
          <w:tcPr>
            <w:tcW w:type="dxa" w:w="5083"/>
            <w:vAlign w:val="center"/>
          </w:tcPr>
          <w:p>
            <w:pPr>
              <w:spacing w:line="276" w:lineRule="auto" w:after="40"/>
            </w:pPr>
            <w:r>
              <w:rPr>
                <w:rFonts w:ascii="Times New Roman" w:hAnsi="Times New Roman"/>
                <w:sz w:val="20"/>
              </w:rPr>
              <w:t>Source files, test files, configuration samples and existing docs in app.zip</w:t>
            </w:r>
          </w:p>
        </w:tc>
      </w:tr>
      <w:tr>
        <w:tc>
          <w:tcPr>
            <w:tcW w:type="dxa" w:w="5083"/>
            <w:vAlign w:val="center"/>
          </w:tcPr>
          <w:p>
            <w:pPr>
              <w:spacing w:line="276" w:lineRule="auto" w:after="40"/>
            </w:pPr>
            <w:r>
              <w:rPr>
                <w:rFonts w:ascii="Times New Roman" w:hAnsi="Times New Roman"/>
                <w:sz w:val="20"/>
              </w:rPr>
              <w:t>Version / release</w:t>
            </w:r>
          </w:p>
        </w:tc>
        <w:tc>
          <w:tcPr>
            <w:tcW w:type="dxa" w:w="5083"/>
            <w:vAlign w:val="center"/>
          </w:tcPr>
          <w:p>
            <w:pPr>
              <w:spacing w:line="276" w:lineRule="auto" w:after="40"/>
            </w:pPr>
            <w:r>
              <w:rPr>
                <w:rFonts w:ascii="Times New Roman" w:hAnsi="Times New Roman"/>
                <w:sz w:val="20"/>
              </w:rPr>
              <w:t>Not specified in the supplied archive</w:t>
            </w:r>
          </w:p>
        </w:tc>
      </w:tr>
      <w:tr>
        <w:tc>
          <w:tcPr>
            <w:tcW w:type="dxa" w:w="5083"/>
            <w:vAlign w:val="center"/>
          </w:tcPr>
          <w:p>
            <w:pPr>
              <w:spacing w:line="276" w:lineRule="auto" w:after="40"/>
            </w:pPr>
            <w:r>
              <w:rPr>
                <w:rFonts w:ascii="Times New Roman" w:hAnsi="Times New Roman"/>
                <w:sz w:val="20"/>
              </w:rPr>
              <w:t>Prepared on</w:t>
            </w:r>
          </w:p>
        </w:tc>
        <w:tc>
          <w:tcPr>
            <w:tcW w:type="dxa" w:w="5083"/>
            <w:vAlign w:val="center"/>
          </w:tcPr>
          <w:p>
            <w:pPr>
              <w:spacing w:line="276" w:lineRule="auto" w:after="40"/>
            </w:pPr>
            <w:r>
              <w:rPr>
                <w:rFonts w:ascii="Times New Roman" w:hAnsi="Times New Roman"/>
                <w:sz w:val="20"/>
              </w:rPr>
              <w:t>30 October 2026</w:t>
            </w:r>
          </w:p>
        </w:tc>
      </w:tr>
    </w:tbl>
    <w:p>
      <w:pPr>
        <w:spacing w:line="360" w:lineRule="auto" w:after="120"/>
      </w:pPr>
      <w:r>
        <w:br/>
        <w:t>Scope note: This document describes the supplied codebase. It distinguishes implemented structures visible in source from recommended deployment practices and items that require live verification.</w:t>
      </w:r>
    </w:p>
    <w:p>
      <w:pPr>
        <w:spacing w:line="360" w:lineRule="auto" w:after="120"/>
      </w:pPr>
      <w:r/>
    </w:p>
    <w:p>
      <w:pPr>
        <w:pStyle w:val="Title"/>
      </w:pPr>
      <w:r>
        <w:t>DOCUMENT CONTENTS</w:t>
      </w:r>
    </w:p>
    <w:p>
      <w:pPr>
        <w:spacing w:after="120" w:line="360" w:lineRule="auto"/>
      </w:pPr>
      <w:r>
        <w:t>01. Executive Summary</w:t>
      </w:r>
    </w:p>
    <w:p>
      <w:pPr>
        <w:spacing w:after="120" w:line="360" w:lineRule="auto"/>
      </w:pPr>
      <w:r>
        <w:t>02. Introduction and Background</w:t>
      </w:r>
    </w:p>
    <w:p>
      <w:pPr>
        <w:spacing w:after="120" w:line="360" w:lineRule="auto"/>
      </w:pPr>
      <w:r>
        <w:t>03. Problem Definition</w:t>
      </w:r>
    </w:p>
    <w:p>
      <w:pPr>
        <w:spacing w:after="120" w:line="360" w:lineRule="auto"/>
      </w:pPr>
      <w:r>
        <w:t>04. Project Aim and Objectives</w:t>
      </w:r>
    </w:p>
    <w:p>
      <w:pPr>
        <w:spacing w:after="120" w:line="360" w:lineRule="auto"/>
      </w:pPr>
      <w:r>
        <w:t>05. Scope of the System</w:t>
      </w:r>
    </w:p>
    <w:p>
      <w:pPr>
        <w:spacing w:after="120" w:line="360" w:lineRule="auto"/>
      </w:pPr>
      <w:r>
        <w:t>06. Stakeholders and User Roles</w:t>
      </w:r>
    </w:p>
    <w:p>
      <w:pPr>
        <w:spacing w:after="120" w:line="360" w:lineRule="auto"/>
      </w:pPr>
      <w:r>
        <w:t>07. Functional Requirements</w:t>
      </w:r>
    </w:p>
    <w:p>
      <w:pPr>
        <w:spacing w:after="120" w:line="360" w:lineRule="auto"/>
      </w:pPr>
      <w:r>
        <w:t>08. Non-Functional Requirements</w:t>
      </w:r>
    </w:p>
    <w:p>
      <w:pPr>
        <w:spacing w:after="120" w:line="360" w:lineRule="auto"/>
      </w:pPr>
      <w:r>
        <w:t>09. Technology Stack</w:t>
      </w:r>
    </w:p>
    <w:p>
      <w:pPr>
        <w:spacing w:after="120" w:line="360" w:lineRule="auto"/>
      </w:pPr>
      <w:r>
        <w:t>10. High-Level Architecture</w:t>
      </w:r>
    </w:p>
    <w:p>
      <w:pPr>
        <w:spacing w:after="120" w:line="360" w:lineRule="auto"/>
      </w:pPr>
      <w:r>
        <w:t>11. Application Entry Point and Navigation</w:t>
      </w:r>
    </w:p>
    <w:p>
      <w:pPr>
        <w:spacing w:after="120" w:line="360" w:lineRule="auto"/>
      </w:pPr>
      <w:r>
        <w:t>12. Main Doubt-Solving Workflow</w:t>
      </w:r>
    </w:p>
    <w:p>
      <w:pPr>
        <w:spacing w:after="120" w:line="360" w:lineRule="auto"/>
      </w:pPr>
      <w:r>
        <w:t>13. Central Pipeline Design</w:t>
      </w:r>
    </w:p>
    <w:p>
      <w:pPr>
        <w:spacing w:after="120" w:line="360" w:lineRule="auto"/>
      </w:pPr>
      <w:r>
        <w:t>14. Question Validation</w:t>
      </w:r>
    </w:p>
    <w:p>
      <w:pPr>
        <w:spacing w:after="120" w:line="360" w:lineRule="auto"/>
      </w:pPr>
      <w:r>
        <w:t>15. Language Model Service</w:t>
      </w:r>
    </w:p>
    <w:p>
      <w:pPr>
        <w:spacing w:after="120" w:line="360" w:lineRule="auto"/>
      </w:pPr>
      <w:r>
        <w:t>16. Offline Tutoring Service</w:t>
      </w:r>
    </w:p>
    <w:p>
      <w:pPr>
        <w:spacing w:after="120" w:line="360" w:lineRule="auto"/>
      </w:pPr>
      <w:r>
        <w:t>17. Academic Domain Detection</w:t>
      </w:r>
    </w:p>
    <w:p>
      <w:pPr>
        <w:spacing w:after="120" w:line="360" w:lineRule="auto"/>
      </w:pPr>
      <w:r>
        <w:t>18. Mathematics and Matrix Service</w:t>
      </w:r>
    </w:p>
    <w:p>
      <w:pPr>
        <w:spacing w:after="120" w:line="360" w:lineRule="auto"/>
      </w:pPr>
      <w:r>
        <w:t>19. Python Code Diagnosis</w:t>
      </w:r>
    </w:p>
    <w:p>
      <w:pPr>
        <w:spacing w:after="120" w:line="360" w:lineRule="auto"/>
      </w:pPr>
      <w:r>
        <w:t>20. Code Execution and Challenge Evaluation</w:t>
      </w:r>
    </w:p>
    <w:p>
      <w:pPr>
        <w:spacing w:after="120" w:line="360" w:lineRule="auto"/>
      </w:pPr>
      <w:r>
        <w:t>21. Document Processing Service</w:t>
      </w:r>
    </w:p>
    <w:p>
      <w:pPr>
        <w:spacing w:after="120" w:line="360" w:lineRule="auto"/>
      </w:pPr>
      <w:r>
        <w:t>22. Retrieval-Augmented Generation</w:t>
      </w:r>
    </w:p>
    <w:p>
      <w:pPr>
        <w:spacing w:after="120" w:line="360" w:lineRule="auto"/>
      </w:pPr>
      <w:r>
        <w:t>23. PDF and PowerPoint Processing</w:t>
      </w:r>
    </w:p>
    <w:p>
      <w:pPr>
        <w:spacing w:after="120" w:line="360" w:lineRule="auto"/>
      </w:pPr>
      <w:r>
        <w:t>24. Text Chunking and Retrieval</w:t>
      </w:r>
    </w:p>
    <w:p>
      <w:pPr>
        <w:spacing w:after="120" w:line="360" w:lineRule="auto"/>
      </w:pPr>
      <w:r>
        <w:t>25. Grounded Answer Generation</w:t>
      </w:r>
    </w:p>
    <w:p>
      <w:pPr>
        <w:spacing w:after="120" w:line="360" w:lineRule="auto"/>
      </w:pPr>
      <w:r>
        <w:t>26. Database Design Overview</w:t>
      </w:r>
    </w:p>
    <w:p>
      <w:pPr>
        <w:spacing w:after="120" w:line="360" w:lineRule="auto"/>
      </w:pPr>
      <w:r>
        <w:t>27. Database Service Operations</w:t>
      </w:r>
    </w:p>
    <w:p>
      <w:pPr>
        <w:spacing w:after="120" w:line="360" w:lineRule="auto"/>
      </w:pPr>
      <w:r>
        <w:t>28. Learning History Module</w:t>
      </w:r>
    </w:p>
    <w:p>
      <w:pPr>
        <w:spacing w:after="120" w:line="360" w:lineRule="auto"/>
      </w:pPr>
      <w:r>
        <w:t>29. Practice Quiz Module</w:t>
      </w:r>
    </w:p>
    <w:p>
      <w:pPr>
        <w:spacing w:after="120" w:line="360" w:lineRule="auto"/>
      </w:pPr>
      <w:r>
        <w:t>30. Study Materials Module</w:t>
      </w:r>
    </w:p>
    <w:p>
      <w:pPr>
        <w:spacing w:after="120" w:line="360" w:lineRule="auto"/>
      </w:pPr>
      <w:r>
        <w:t>31. Student Progress Module</w:t>
      </w:r>
    </w:p>
    <w:p>
      <w:pPr>
        <w:spacing w:after="120" w:line="360" w:lineRule="auto"/>
      </w:pPr>
      <w:r>
        <w:t>32. Faculty Dashboard Module</w:t>
      </w:r>
    </w:p>
    <w:p>
      <w:pPr>
        <w:spacing w:after="120" w:line="360" w:lineRule="auto"/>
      </w:pPr>
      <w:r>
        <w:t>33. Configuration and Environment</w:t>
      </w:r>
    </w:p>
    <w:p>
      <w:pPr>
        <w:spacing w:after="120" w:line="360" w:lineRule="auto"/>
      </w:pPr>
      <w:r>
        <w:t>34. Installation Guide</w:t>
      </w:r>
    </w:p>
    <w:p>
      <w:pPr>
        <w:spacing w:after="120" w:line="360" w:lineRule="auto"/>
      </w:pPr>
      <w:r>
        <w:t>35. Application Execution Guide</w:t>
      </w:r>
    </w:p>
    <w:p>
      <w:pPr>
        <w:spacing w:after="120" w:line="360" w:lineRule="auto"/>
      </w:pPr>
      <w:r>
        <w:t>36. Testing Strategy</w:t>
      </w:r>
    </w:p>
    <w:p>
      <w:pPr>
        <w:spacing w:after="120" w:line="360" w:lineRule="auto"/>
      </w:pPr>
      <w:r>
        <w:t>37. Test Module: Database</w:t>
      </w:r>
    </w:p>
    <w:p>
      <w:pPr>
        <w:spacing w:after="120" w:line="360" w:lineRule="auto"/>
      </w:pPr>
      <w:r>
        <w:t>38. Test Module: Mathematics</w:t>
      </w:r>
    </w:p>
    <w:p>
      <w:pPr>
        <w:spacing w:after="120" w:line="360" w:lineRule="auto"/>
      </w:pPr>
      <w:r>
        <w:t>39. Test Module: Pipeline</w:t>
      </w:r>
    </w:p>
    <w:p>
      <w:pPr>
        <w:spacing w:after="120" w:line="360" w:lineRule="auto"/>
      </w:pPr>
      <w:r>
        <w:t>40. Test Module: RAG and Code Execution</w:t>
      </w:r>
    </w:p>
    <w:p>
      <w:pPr>
        <w:spacing w:after="120" w:line="360" w:lineRule="auto"/>
      </w:pPr>
      <w:r>
        <w:t>41. Test Module: Validation</w:t>
      </w:r>
    </w:p>
    <w:p>
      <w:pPr>
        <w:spacing w:after="120" w:line="360" w:lineRule="auto"/>
      </w:pPr>
      <w:r>
        <w:t>42. Security Review</w:t>
      </w:r>
    </w:p>
    <w:p>
      <w:pPr>
        <w:spacing w:after="120" w:line="360" w:lineRule="auto"/>
      </w:pPr>
      <w:r>
        <w:t>43. Privacy and Data Governance</w:t>
      </w:r>
    </w:p>
    <w:p>
      <w:pPr>
        <w:spacing w:after="120" w:line="360" w:lineRule="auto"/>
      </w:pPr>
      <w:r>
        <w:t>44. Error Handling and Reliability</w:t>
      </w:r>
    </w:p>
    <w:p>
      <w:pPr>
        <w:spacing w:after="120" w:line="360" w:lineRule="auto"/>
      </w:pPr>
      <w:r>
        <w:t>45. Performance and Scalability</w:t>
      </w:r>
    </w:p>
    <w:p>
      <w:pPr>
        <w:spacing w:after="120" w:line="360" w:lineRule="auto"/>
      </w:pPr>
      <w:r>
        <w:t>46. Deployment Considerations</w:t>
      </w:r>
    </w:p>
    <w:p>
      <w:pPr>
        <w:spacing w:after="120" w:line="360" w:lineRule="auto"/>
      </w:pPr>
      <w:r>
        <w:t>47. User Guide for Students</w:t>
      </w:r>
    </w:p>
    <w:p>
      <w:pPr>
        <w:spacing w:after="120" w:line="360" w:lineRule="auto"/>
      </w:pPr>
      <w:r>
        <w:t>48. User Guide for Faculty</w:t>
      </w:r>
    </w:p>
    <w:p>
      <w:pPr>
        <w:spacing w:after="120" w:line="360" w:lineRule="auto"/>
      </w:pPr>
      <w:r>
        <w:t>49. Maintenance and Troubleshooting</w:t>
      </w:r>
    </w:p>
    <w:p>
      <w:pPr>
        <w:spacing w:after="120" w:line="360" w:lineRule="auto"/>
      </w:pPr>
      <w:r>
        <w:t>50. Limitations and Future Enhancements</w:t>
      </w:r>
    </w:p>
    <w:p>
      <w:pPr>
        <w:spacing w:after="120" w:line="360" w:lineRule="auto"/>
      </w:pPr>
      <w:r>
        <w:t>51. Conclusion and References</w:t>
      </w:r>
    </w:p>
    <w:p>
      <w:pPr>
        <w:spacing w:line="360" w:lineRule="auto" w:after="120"/>
      </w:pPr>
      <w:r/>
    </w:p>
    <w:p>
      <w:pPr>
        <w:pStyle w:val="Heading1"/>
      </w:pPr>
      <w:r>
        <w:t>1. Executive Summary</w:t>
      </w:r>
    </w:p>
    <w:p>
      <w:pPr>
        <w:spacing w:line="360" w:lineRule="auto" w:after="120"/>
      </w:pPr>
      <w:r>
        <w:t>DoubtBuster is an educational support application built with Python and Streamlit. Its source tree combines a student-facing interface with backend services for question handling, language-model integration, offline tutoring, mathematical assistance, code diagnosis and execution, course-document retrieval, and learning-data persistence. The project also includes separate Streamlit pages for learning history, practice quizzes, study materials, student progress, and faculty analytics.</w:t>
      </w:r>
    </w:p>
    <w:p>
      <w:pPr>
        <w:spacing w:line="360" w:lineRule="auto" w:after="120"/>
      </w:pPr>
      <w:r>
        <w:t>The central design idea is to make academic help available in one application. A student can ask a question, receive an explanation, work with course materials, practise with quizzes, and review previous activity. Specialized services keep the code organized: the pipeline coordinates work, service modules perform focused tasks, and the database service stores records. The test directory provides a starting point for checking key behavior.</w:t>
      </w:r>
    </w:p>
    <w:p>
      <w:pPr>
        <w:spacing w:line="360" w:lineRule="auto" w:after="120"/>
      </w:pPr>
      <w:r>
        <w:t>The archive includes both source code and pre-existing documentation. Some legacy documents may not describe every newer module in the current source tree. This expanded document therefore gives priority to the source structure and implementation visible in the supplied archive. It does not claim that a feature is production-ready merely because a module exists. Deployment, security, provider configuration, and live UI behavior should be verified before institutional use.</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 Introduction and Background</w:t>
      </w:r>
    </w:p>
    <w:p>
      <w:pPr>
        <w:spacing w:line="360" w:lineRule="auto" w:after="120"/>
      </w:pPr>
      <w:r>
        <w:t>Students often need help outside scheduled lectures. They may need a concept explained in simpler language, a worked mathematical example, feedback on a Python program, or an explanation based on their own class notes. Searching many websites can produce fragmented results and may not match the terminology used by a course instructor.</w:t>
      </w:r>
    </w:p>
    <w:p>
      <w:pPr>
        <w:spacing w:line="360" w:lineRule="auto" w:after="120"/>
      </w:pPr>
      <w:r>
        <w:t>DoubtBuster is intended to bring several learning-support activities together. Its Streamlit interface provides the application experience, while Python modules handle the work behind the screens. The project has both an online language-model path and an offline tutoring module. It also contains retrieval code that can search uploaded course material and use selected passages as context for an answer.</w:t>
      </w:r>
    </w:p>
    <w:p>
      <w:pPr>
        <w:spacing w:line="360" w:lineRule="auto" w:after="120"/>
      </w:pPr>
      <w:r>
        <w:t>The project is relevant to educational technology because it combines question answering with learning records and practice. It should be treated as a learning assistant rather than a replacement for teachers, textbooks, laboratory work, or independent reasoning. Students should be encouraged to understand and verify answers rather than copy them without learning.</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 Problem Definition</w:t>
      </w:r>
    </w:p>
    <w:p>
      <w:pPr>
        <w:spacing w:line="360" w:lineRule="auto" w:after="120"/>
      </w:pPr>
      <w:r>
        <w:t>A learner may encounter difficulties understanding technical terminology, mathematical procedures, programming errors, or lengthy lecture notes. Common support methods can be inconvenient: asking a teacher may require waiting until the next class, searching the internet may return unrelated explanations, and manually revisiting notes can take time.</w:t>
      </w:r>
    </w:p>
    <w:p>
      <w:pPr>
        <w:spacing w:line="360" w:lineRule="auto" w:after="120"/>
      </w:pPr>
      <w:r>
        <w:t>The problem addressed by this project is the lack of a single, structured application for several common learning-support tasks. The system aims to accept a student's doubt, validate the input, identify a suitable processing path, and return an educational response. Additional modules support document-based retrieval, coding practice, quizzes, and review of learning activity.</w:t>
      </w:r>
    </w:p>
    <w:p>
      <w:pPr>
        <w:spacing w:line="360" w:lineRule="auto" w:after="120"/>
      </w:pPr>
      <w:r>
        <w:t>The project does not guarantee that every generated answer is correct. AI systems can produce incomplete or inaccurate responses, and retrieval can fail when documents are scanned, poorly formatted, or contain little searchable text. The system should communicate uncertainty and direct students to trusted course resources when evidence is missing.</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 Project Aim and Objectives</w:t>
      </w:r>
    </w:p>
    <w:p>
      <w:pPr>
        <w:spacing w:line="360" w:lineRule="auto" w:after="120"/>
      </w:pPr>
      <w:r>
        <w:t>The overall aim is to develop a modular academic assistance platform for students. Its objectives are to provide a central interface for doubts; route requests through reusable backend services; offer language-model and offline response paths; assist with selected mathematics and matrix tasks; diagnose selected Python code issues; execute code under limited controls for practice; parse supported learning documents; retrieve relevant passages; and preserve selected learning activity in SQLite.</w:t>
      </w:r>
    </w:p>
    <w:p>
      <w:pPr>
        <w:spacing w:line="360" w:lineRule="auto" w:after="120"/>
      </w:pPr>
      <w:r>
        <w:t>A further objective is to provide separate views for different activities. Learning history helps a student revisit earlier work. Practice quizzes provide a structured self-check. Study materials support access to learning resources. Student progress presents activity statistics, while the faculty dashboard is intended for aggregated academic monitoring.</w:t>
      </w:r>
    </w:p>
    <w:p>
      <w:pPr>
        <w:spacing w:line="360" w:lineRule="auto" w:after="120"/>
      </w:pPr>
      <w:r>
        <w:t>The modular design also supports maintainability. Each service has a defined responsibility, which makes it easier to test, improve, or replace one part without rewriting the entire application.</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5. Scope of the System</w:t>
      </w:r>
    </w:p>
    <w:p>
      <w:pPr>
        <w:spacing w:line="360" w:lineRule="auto" w:after="120"/>
      </w:pPr>
      <w:r>
        <w:t>The source archive indicates a Python and Streamlit application with a main app file and five additional page files. Backend functionality is grouped into configuration, core pipeline, services, and utility validation. The service layer includes database, document, LLM, math/code, offline tutor, RAG, and code execution modules.</w:t>
      </w:r>
    </w:p>
    <w:p>
      <w:pPr>
        <w:spacing w:line="360" w:lineRule="auto" w:after="120"/>
      </w:pPr>
      <w:r>
        <w:t>The visible scope includes question answering workflows, follow-up handling, quiz generation, lesson summaries, academic field detection, selected math operations, code diagnosis, code execution, document parsing, TF-IDF retrieval, and database operations. The application includes sample data and automated tests.</w:t>
      </w:r>
    </w:p>
    <w:p>
      <w:pPr>
        <w:spacing w:line="360" w:lineRule="auto" w:after="120"/>
      </w:pPr>
      <w:r>
        <w:t>The archive does not by itself establish the final hosting environment, number of supported concurrent users, institutional authentication model, production database strategy, or service-level guarantees. Those matters are outside the confirmed implementation scope and are listed as verification or future-work items.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6. Stakeholders and User Roles</w:t>
      </w:r>
    </w:p>
    <w:p>
      <w:pPr>
        <w:spacing w:line="360" w:lineRule="auto" w:after="120"/>
      </w:pPr>
      <w:r>
        <w:t>The primary stakeholder is the student, who uses the application to ask questions, consult course resources, practise, and review learning activity. A faculty member is another intended stakeholder, especially for the faculty dashboard and aggregate progress information. Project maintainers configure services, update dependencies, review logs, and maintain the database.</w:t>
      </w:r>
    </w:p>
    <w:p>
      <w:pPr>
        <w:spacing w:line="360" w:lineRule="auto" w:after="120"/>
      </w:pPr>
      <w:r>
        <w:t>The page names indicate student-facing functions and a faculty dashboard, but role enforcement must be checked in the actual deployment. A page labelled for faculty is not sufficient access control. Before real student records are used, the application should implement authenticated identities and server-side authorization for each faculty-only operation.</w:t>
      </w:r>
    </w:p>
    <w:p>
      <w:pPr>
        <w:spacing w:line="360" w:lineRule="auto" w:after="120"/>
      </w:pPr>
      <w:r>
        <w:t>Institutional administrators may also be stakeholders because they are responsible for hosting, data protection, acceptable-use policy, and retention rules. Students should be told what information is stored and how it is used.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7. Functional Requirements</w:t>
      </w:r>
    </w:p>
    <w:p>
      <w:pPr>
        <w:spacing w:line="360" w:lineRule="auto" w:after="120"/>
      </w:pPr>
      <w:r>
        <w:t>Functional requirements describe what the system is expected to do. The source modules indicate that the system should accept a question, reject blank or excessively long input, route valid requests through the central pipeline, and provide an answer or a useful failure message. It should support follow-up questions and selected interactive learning functions.</w:t>
      </w:r>
    </w:p>
    <w:p>
      <w:pPr>
        <w:spacing w:line="360" w:lineRule="auto" w:after="120"/>
      </w:pPr>
      <w:r>
        <w:t>The application should provide math solving and matrix analysis through a specialized service. It should provide Python code diagnosis and a coding-challenge runner. It should parse PDF, PPTX, and text-like files, divide extracted content into chunks, retrieve relevant chunks, and generate a response grounded in the retrieved content.</w:t>
      </w:r>
    </w:p>
    <w:p>
      <w:pPr>
        <w:spacing w:line="360" w:lineRule="auto" w:after="120"/>
      </w:pPr>
      <w:r>
        <w:t>The data service should support learning records and related activity, including history, bookmarks, difficulty flags, ratings, quiz records, coding attempts, notes, student statistics, and faculty analytics. The user interface should expose the relevant workflows through separate pages. Exact field-level acceptance criteria should be finalized with project stakeholders.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8. Non-Functional Requirements</w:t>
      </w:r>
    </w:p>
    <w:p>
      <w:pPr>
        <w:spacing w:line="360" w:lineRule="auto" w:after="120"/>
      </w:pPr>
      <w:r>
        <w:t>Usability: screens should use clear labels, simple instructions, and readable feedback. Students should understand what input is expected and what happened after submission. Reliability: invalid inputs, unavailable model providers, malformed documents, and database errors should be handled without crashing the entire application.</w:t>
      </w:r>
    </w:p>
    <w:p>
      <w:pPr>
        <w:spacing w:line="360" w:lineRule="auto" w:after="120"/>
      </w:pPr>
      <w:r>
        <w:t>Performance: common requests should return within an acceptable time for the intended class size. Language-model latency depends on the provider and network. Document parsing and retrieval time depend on file size and content volume. Security: credentials must be stored outside source code, uploaded files must be treated as untrusted, and code execution must be isolated appropriately.</w:t>
      </w:r>
    </w:p>
    <w:p>
      <w:pPr>
        <w:spacing w:line="360" w:lineRule="auto" w:after="120"/>
      </w:pPr>
      <w:r>
        <w:t>Maintainability: services should remain separated by responsibility and tests should cover critical behavior. Portability: dependencies should be installed from requirements.txt in a controlled Python environment. Privacy: student data should be minimized, access-controlled, retained only as long as necessary, and protected during backup and deletion.</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9. Technology Stack</w:t>
      </w:r>
    </w:p>
    <w:p>
      <w:pPr>
        <w:spacing w:line="360" w:lineRule="auto" w:after="120"/>
      </w:pPr>
      <w:r>
        <w:t>Python is the primary implementation language. Streamlit provides the web application interface and page navigation. SQLite is used for local persistence through the database service. The source and dependency list indicate use of language-model integration, document parsing, scientific computation, data analysis, and testing libraries.</w:t>
      </w:r>
    </w:p>
    <w:p>
      <w:pPr>
        <w:spacing w:line="360" w:lineRule="auto" w:after="120"/>
      </w:pPr>
      <w:r>
        <w:t>The RAG service uses scikit-learn TF-IDF vectorization and cosine similarity to rank document chunks. PDF parsing is handled through pypdf, and PowerPoint extraction uses python-pptx. The math/code service uses symbolic and matrix-oriented operations. The project test suite uses pytest. Additional libraries listed in requirements.txt should be checked against the exact installed versions before deployment.</w:t>
      </w:r>
    </w:p>
    <w:p>
      <w:pPr>
        <w:spacing w:line="360" w:lineRule="auto" w:after="120"/>
      </w:pPr>
      <w:r>
        <w:t>The application can be extended by changing service modules behind stable interfaces. Any dependency upgrade should be followed by regression tests, especially for document parsing, model API calls, and code execution.</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10. High-Level Architecture</w:t>
      </w:r>
    </w:p>
    <w:p>
      <w:pPr>
        <w:spacing w:line="360" w:lineRule="auto" w:after="120"/>
      </w:pPr>
      <w:r>
        <w:t>The architecture can be understood as five cooperating layers. The presentation layer contains app.py and the pages directory. The workflow layer is the central pipeline in backend/core. The service layer contains focused modules for AI access, offline tutoring, math/code, documents, retrieval, code execution, and persistence. The utility/configuration layer validates input and loads settings. The data layer is the SQLite database and uploaded or sample learning content.</w:t>
      </w:r>
    </w:p>
    <w:p>
      <w:pPr>
        <w:spacing w:line="360" w:lineRule="auto" w:after="120"/>
      </w:pPr>
      <w:r>
        <w:t>A typical request begins in the interface. The input is checked, then the pipeline coordinates the appropriate operation. A language-model request may use the configured provider. A document-grounded request may first retrieve relevant passages. A math or coding task may be delegated to its specialized service. Where supported, the database service records the activity for later review.</w:t>
      </w:r>
    </w:p>
    <w:p>
      <w:pPr>
        <w:spacing w:line="360" w:lineRule="auto" w:after="120"/>
      </w:pPr>
      <w:r>
        <w:t>This separation reduces coupling. The interface does not need to implement database SQL or document retrieval algorithms directly. Instead, it calls backend functions with defined inputs and outputs.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11. Application Entry Point and Navigation</w:t>
      </w:r>
    </w:p>
    <w:p>
      <w:pPr>
        <w:spacing w:line="360" w:lineRule="auto" w:after="120"/>
      </w:pPr>
      <w:r>
        <w:t>The main application entry point is app.py. Streamlit executes this file to render the main application. The pages directory contains numbered page modules: learning history, practice quiz, study materials, student progress, and faculty dashboard. Streamlit's multipage convention uses these filenames to create navigation entries.</w:t>
      </w:r>
    </w:p>
    <w:p>
      <w:pPr>
        <w:spacing w:line="360" w:lineRule="auto" w:after="120"/>
      </w:pPr>
      <w:r>
        <w:t>The main file is responsible for establishing the main page experience, collecting student input, and connecting interface actions to backend functionality. The page files provide focused experiences rather than placing every activity on one screen. This structure improves discoverability and makes individual page code easier to maintain.</w:t>
      </w:r>
    </w:p>
    <w:p>
      <w:pPr>
        <w:spacing w:line="360" w:lineRule="auto" w:after="120"/>
      </w:pPr>
      <w:r>
        <w:t>When modifying navigation, keep page names understandable and avoid duplicating business logic in the UI. Shared operations should remain in backend services. UI changes should be tested in a live Streamlit run because widget state, reruns, and session behavior can affect the experience.</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12. Main Doubt-Solving Workflow</w:t>
      </w:r>
    </w:p>
    <w:p>
      <w:pPr>
        <w:spacing w:line="360" w:lineRule="auto" w:after="120"/>
      </w:pPr>
      <w:r>
        <w:t>The intended workflow begins when a student enters a question or supplies a problem statement. The question validator checks that the input is not blank and does not exceed the configured maximum length. A valid question is then processed by the central pipeline. The pipeline can call the language-model service or offline tutor and can select specialized behavior for follow-up, quiz, or lesson-summary requests.</w:t>
      </w:r>
    </w:p>
    <w:p>
      <w:pPr>
        <w:spacing w:line="360" w:lineRule="auto" w:after="120"/>
      </w:pPr>
      <w:r>
        <w:t>The response is returned to the Streamlit interface for display. Depending on the workflow, related information may be stored by the database service. The exact persistence points should be confirmed by following each UI event in app.py and the page modules.</w:t>
      </w:r>
    </w:p>
    <w:p>
      <w:pPr>
        <w:spacing w:line="360" w:lineRule="auto" w:after="120"/>
      </w:pPr>
      <w:r>
        <w:t>A good user experience should provide clear feedback for empty input, unsupported requests, provider errors, and missing document evidence. The application should not display a successful status until the backend operation has actually completed.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13. Central Pipeline Design</w:t>
      </w:r>
    </w:p>
    <w:p>
      <w:pPr>
        <w:spacing w:line="360" w:lineRule="auto" w:after="120"/>
      </w:pPr>
      <w:r>
        <w:t>backend/core/pipeline.py is the coordination module. Its visible function names include adaptive difficulty selection, initial doubt answering, follow-up answering, interactive quiz generation, and lesson-summary generation. This module is important because it connects user intent to the correct service without requiring the UI to know every implementation detail.</w:t>
      </w:r>
    </w:p>
    <w:p>
      <w:pPr>
        <w:spacing w:line="360" w:lineRule="auto" w:after="120"/>
      </w:pPr>
      <w:r>
        <w:t>A pipeline function should receive validated inputs, establish relevant context, call a service, and return a predictable result. It should avoid mixing display formatting with core academic logic. Error handling should distinguish invalid input, missing configuration, provider failure, and unexpected internal errors.</w:t>
      </w:r>
    </w:p>
    <w:p>
      <w:pPr>
        <w:spacing w:line="360" w:lineRule="auto" w:after="120"/>
      </w:pPr>
      <w:r>
        <w:t>The adaptive-difficulty function is intended to help select an appropriate challenge level. The quality of such a selection depends on the signals it uses and should be evaluated with real examples. It should not be described as a validated student assessment unless a formal evaluation has been performed.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14. Question Validation</w:t>
      </w:r>
    </w:p>
    <w:p>
      <w:pPr>
        <w:spacing w:line="360" w:lineRule="auto" w:after="120"/>
      </w:pPr>
      <w:r>
        <w:t>The validator module defines MAX_QUESTION_CHARS as 12,000. validate_question() raises a ValueError if the question is missing or contains only whitespace. It also rejects text longer than the configured maximum and gives a user-readable message.</w:t>
      </w:r>
    </w:p>
    <w:p>
      <w:pPr>
        <w:spacing w:line="360" w:lineRule="auto" w:after="120"/>
      </w:pPr>
      <w:r>
        <w:t>Validation is a first line of input quality control. It prevents empty prompts from being sent to downstream services and places a practical bound on request length. This can reduce avoidable provider costs and prevent excessively large input from degrading the interface.</w:t>
      </w:r>
    </w:p>
    <w:p>
      <w:pPr>
        <w:spacing w:line="360" w:lineRule="auto" w:after="120"/>
      </w:pPr>
      <w:r>
        <w:t>Validation does not establish that a question is academically appropriate, safe, or answerable. Further checks may be required for uploaded files, file types, content size, malformed encodings, and abuse prevention. The UI should catch validation errors and show the message near the input field.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15. Language Model Service</w:t>
      </w:r>
    </w:p>
    <w:p>
      <w:pPr>
        <w:spacing w:line="360" w:lineRule="auto" w:after="120"/>
      </w:pPr>
      <w:r>
        <w:t>backend/services/llm_service.py provides the language-model integration boundary. Its visible interface includes ask_llm() for sending a prompt to a configured model and test_api_connection() for checking provider connectivity. The README and configuration samples should be consulted for the supported provider names and required credentials.</w:t>
      </w:r>
    </w:p>
    <w:p>
      <w:pPr>
        <w:spacing w:line="360" w:lineRule="auto" w:after="120"/>
      </w:pPr>
      <w:r>
        <w:t>A dedicated service module keeps provider-specific API details out of the user interface and pipeline. It can centralize request formatting, model selection, timeout behavior, and error conversion. The calling code should handle missing keys, rate limits, network errors, provider outages, and invalid model names.</w:t>
      </w:r>
    </w:p>
    <w:p>
      <w:pPr>
        <w:spacing w:line="360" w:lineRule="auto" w:after="120"/>
      </w:pPr>
      <w:r>
        <w:t>Model-generated output can be inaccurate or incomplete. Educational responses should be checked against course materials, especially for formulas, code, and high-stakes academic decisions. API keys must never be embedded in source files or exposed in logs or UI output.</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16. Offline Tutoring Service</w:t>
      </w:r>
    </w:p>
    <w:p>
      <w:pPr>
        <w:spacing w:line="360" w:lineRule="auto" w:after="120"/>
      </w:pPr>
      <w:r>
        <w:t>The offline tutor module provides a non-hosted path for generating academic help. Its visible functions include academic-field and domain detection and offline answer generation. This provides a fallback or alternative when a hosted model is not configured or is unavailable.</w:t>
      </w:r>
    </w:p>
    <w:p>
      <w:pPr>
        <w:spacing w:line="360" w:lineRule="auto" w:after="120"/>
      </w:pPr>
      <w:r>
        <w:t>An offline tutor may use curated rules, topic patterns, templates, and subject-specific explanations. Such an approach can be fast and predictable for supported topics, but it will not have the broad generative ability of a large hosted model. The quality depends on the coverage of keywords, patterns, and answer templates.</w:t>
      </w:r>
    </w:p>
    <w:p>
      <w:pPr>
        <w:spacing w:line="360" w:lineRule="auto" w:after="120"/>
      </w:pPr>
      <w:r>
        <w:t>The user interface should make the response mode clear when useful. Maintainers should add representative questions for each supported subject and test both successful matches and fallback behavior. The offline response should avoid presenting an unsupported guess as a verified fact.</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17. Academic Domain Detection</w:t>
      </w:r>
    </w:p>
    <w:p>
      <w:pPr>
        <w:spacing w:line="360" w:lineRule="auto" w:after="120"/>
      </w:pPr>
      <w:r>
        <w:t>The offline tutor includes keyword-based academic field detection. The visible source contains categories such as AI and data science, computer science and programming, life sciences, physics, chemistry, electrical and electronics engineering, mechanical engineering, civil engineering, economics, history and social sciences, civics, geography, mathematics, and a general fallback.</w:t>
      </w:r>
    </w:p>
    <w:p>
      <w:pPr>
        <w:spacing w:line="360" w:lineRule="auto" w:after="120"/>
      </w:pPr>
      <w:r>
        <w:t>The detector searches question text for terms associated with a domain. For example, terms related to SQL, operating systems, networks, or object-oriented programming can lead to a computer-science classification. Terms related to derivatives, matrices, or equations can lead to mathematics. A manually supplied subject may also be mapped to a normalized category.</w:t>
      </w:r>
    </w:p>
    <w:p>
      <w:pPr>
        <w:spacing w:line="360" w:lineRule="auto" w:after="120"/>
      </w:pPr>
      <w:r>
        <w:t>Keyword classification is lightweight but imperfect. A word may appear in multiple subjects, and a short question may not contain enough clues. Future improvements could use explicit subject selection, a trained classifier, or a model-assisted classification step. Tests should include ambiguous and mixed-domain questions.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18. Mathematics and Matrix Service</w:t>
      </w:r>
    </w:p>
    <w:p>
      <w:pPr>
        <w:spacing w:line="360" w:lineRule="auto" w:after="120"/>
      </w:pPr>
      <w:r>
        <w:t>The math/code service includes a symbolic mathematics function and a matrix analysis function. The module is intended to provide deterministic support for selected calculations rather than relying entirely on natural-language generation. Symbolic computation can help solve expressions or equations while preserving mathematical structure.</w:t>
      </w:r>
    </w:p>
    <w:p>
      <w:pPr>
        <w:spacing w:line="360" w:lineRule="auto" w:after="120"/>
      </w:pPr>
      <w:r>
        <w:t>Matrix analysis may report properties such as dimensions, determinant, rank, inverse availability, or eigen-related information, depending on the implemented function. The exact supported operations and input formats should be confirmed from the function body and tests before documenting them as guaranteed capabilities.</w:t>
      </w:r>
    </w:p>
    <w:p>
      <w:pPr>
        <w:spacing w:line="360" w:lineRule="auto" w:after="120"/>
      </w:pPr>
      <w:r>
        <w:t>Mathematical input should be parsed carefully. The system should validate dimensions, reject malformed expressions, and communicate domain restrictions. Students should be shown the method or intermediate reasoning when the educational objective is understanding, not only the final numeric result.</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19. Python Code Diagnosis</w:t>
      </w:r>
    </w:p>
    <w:p>
      <w:pPr>
        <w:spacing w:line="360" w:lineRule="auto" w:after="120"/>
      </w:pPr>
      <w:r>
        <w:t>The math/code service also exposes diagnose_python_code(). This function is intended to inspect submitted Python source and report selected issues. Static diagnosis can use Python's abstract syntax tree to identify syntax structure and selected patterns without running the program.</w:t>
      </w:r>
    </w:p>
    <w:p>
      <w:pPr>
        <w:spacing w:line="360" w:lineRule="auto" w:after="120"/>
      </w:pPr>
      <w:r>
        <w:t>Static analysis is useful because it can identify some problems before execution. It may detect malformed syntax, suspicious constructs, or likely style and logic concerns. However, static analysis cannot prove that a program is correct for every input. A program can be syntactically valid and still produce the wrong output for a particular test case.</w:t>
      </w:r>
    </w:p>
    <w:p>
      <w:pPr>
        <w:spacing w:line="360" w:lineRule="auto" w:after="120"/>
      </w:pPr>
      <w:r>
        <w:t>Feedback should be specific and constructive. It should explain the issue, identify the relevant code location where possible, and suggest a concept to review. Avoid describing a heuristic warning as a definitive proof of a bug.</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20. Code Execution and Challenge Evaluation</w:t>
      </w:r>
    </w:p>
    <w:p>
      <w:pPr>
        <w:spacing w:line="360" w:lineRule="auto" w:after="120"/>
      </w:pPr>
      <w:r>
        <w:t>The code execution service defines a list of text patterns that it blocks, including selected operating-system, subprocess, socket, file, eval, and exec operations. check_code_safety() scans each non-comment line for these patterns. execute_python_code() runs submitted code in a subprocess with captured output and a timeout. The default timeout shown in the source is three seconds.</w:t>
      </w:r>
    </w:p>
    <w:p>
      <w:pPr>
        <w:spacing w:line="360" w:lineRule="auto" w:after="120"/>
      </w:pPr>
      <w:r>
        <w:t>The coding challenge runner accepts a function name and test cases, constructs a runner script, executes it with a four-second timeout, and compares actual results with expected results. It returns per-case outcomes and an overall pass indicator when parsing succeeds.</w:t>
      </w:r>
    </w:p>
    <w:p>
      <w:pPr>
        <w:spacing w:line="360" w:lineRule="auto" w:after="120"/>
      </w:pPr>
      <w:r>
        <w:t>Important security limitation: substring filtering and a subprocess timeout are not a hardened sandbox. They do not provide complete protection from malicious code or resource exhaustion. Production deployment requires stronger isolation, operating-system permissions, CPU/memory limits, filesystem restrictions, and security review.</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21. Document Processing Service</w:t>
      </w:r>
    </w:p>
    <w:p>
      <w:pPr>
        <w:spacing w:line="360" w:lineRule="auto" w:after="120"/>
      </w:pPr>
      <w:r>
        <w:t>The document service provides text extraction and study-material helper functions. It is designed to make learning resources available to the application in a form that downstream components can process. Extracted text can be displayed, summarized, or supplied to retrieval functions.</w:t>
      </w:r>
    </w:p>
    <w:p>
      <w:pPr>
        <w:spacing w:line="360" w:lineRule="auto" w:after="120"/>
      </w:pPr>
      <w:r>
        <w:t>Document processing commonly involves file reading, decoding, parsing, and normalization. Different formats require different parsers. A PDF may contain selectable text or only scanned images. A PowerPoint may contain text in shapes, while a plain text or Markdown file can be decoded directly. Tables, diagrams, equations, and images may not be fully represented by extracted text.</w:t>
      </w:r>
    </w:p>
    <w:p>
      <w:pPr>
        <w:spacing w:line="360" w:lineRule="auto" w:after="120"/>
      </w:pPr>
      <w:r>
        <w:t>The application should validate file type and size before parsing. Parsing errors should be shown in a useful way and should not terminate the whole session. Students should be advised that scanned or image-only documents may require OCR, which should not be assumed unless implemented.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22. Retrieval-Augmented Generation</w:t>
      </w:r>
    </w:p>
    <w:p>
      <w:pPr>
        <w:spacing w:line="360" w:lineRule="auto" w:after="120"/>
      </w:pPr>
      <w:r>
        <w:t>Retrieval-Augmented Generation, or RAG, combines document search with language-model generation. In DoubtBuster, the RAG service parses course documents, creates text chunks, retrieves relevant chunks for a student's question, and constructs a prompt that asks the model to answer using those excerpts.</w:t>
      </w:r>
    </w:p>
    <w:p>
      <w:pPr>
        <w:spacing w:line="360" w:lineRule="auto" w:after="120"/>
      </w:pPr>
      <w:r>
        <w:t>The purpose is to connect an answer to the student's uploaded material rather than relying only on general model knowledge. The answer prompt requests explicit source references and asks the model to distinguish direct source information from helpful explanation. It also asks the model to state when the uploaded material does not specify a detail.</w:t>
      </w:r>
    </w:p>
    <w:p>
      <w:pPr>
        <w:spacing w:line="360" w:lineRule="auto" w:after="120"/>
      </w:pPr>
      <w:r>
        <w:t>RAG quality depends on document extraction, chunk size, overlap, vocabulary, retrieval ranking, and prompt behavior. Retrieval results should be inspected during testing. A high similarity score is a relevance signal, not proof that the passage fully answers the question.</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23. PDF and PowerPoint Processing</w:t>
      </w:r>
    </w:p>
    <w:p>
      <w:pPr>
        <w:spacing w:line="360" w:lineRule="auto" w:after="120"/>
      </w:pPr>
      <w:r>
        <w:t>The RAG service uses pypdf to read PDF pages and python-pptx to extract text from PowerPoint slides. PDF content is stored with page labels. PowerPoint content is gathered from shapes that expose text and stored with slide labels. Text-like files are decoded as UTF-8 with replacement behavior and split into paragraph-like sections.</w:t>
      </w:r>
    </w:p>
    <w:p>
      <w:pPr>
        <w:spacing w:line="360" w:lineRule="auto" w:after="120"/>
      </w:pPr>
      <w:r>
        <w:t>Page and slide labels are important because they allow the response to identify where a passage originated. If a file cannot be parsed, the service records an error passage. The user interface should distinguish parse errors from valid content so that an error message is not accidentally treated as source material.</w:t>
      </w:r>
    </w:p>
    <w:p>
      <w:pPr>
        <w:spacing w:line="360" w:lineRule="auto" w:after="120"/>
      </w:pPr>
      <w:r>
        <w:t>Text extraction has limitations. It may miss images, charts, scanned pages, speaker notes, complex tables, or text embedded in unsupported objects. File-format support should be communicated clearly, and test documents should cover ordinary and edge-case files.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24. Text Chunking and Retrieval</w:t>
      </w:r>
    </w:p>
    <w:p>
      <w:pPr>
        <w:spacing w:line="360" w:lineRule="auto" w:after="120"/>
      </w:pPr>
      <w:r>
        <w:t>chunk_sections() divides extracted sections into smaller word sequences and preserves document and section metadata. The source sets a default chunk_size of 500, calculates a smaller word window, and advances by a step that creates overlap. Each retained chunk receives a sequential chunk identifier.</w:t>
      </w:r>
    </w:p>
    <w:p>
      <w:pPr>
        <w:spacing w:line="360" w:lineRule="auto" w:after="120"/>
      </w:pPr>
      <w:r>
        <w:t>retrieve_grounded_chunks() builds a TF-IDF representation using English stop words and unigrams/bigrams. It transforms the student's query into the same feature space, calculates cosine similarity against each chunk, and returns up to top_k results. The default top_k is three. Results above a relevance threshold are retained, with a fallback to the top-ranked result when no earlier result qualifies.</w:t>
      </w:r>
    </w:p>
    <w:p>
      <w:pPr>
        <w:spacing w:line="360" w:lineRule="auto" w:after="120"/>
      </w:pPr>
      <w:r>
        <w:t>TF-IDF is simple and explainable, but it relies on lexical overlap. It may miss semantically similar passages that use different words. Future options include domain-specific tokenization, BM25, embeddings, hybrid retrieval, and reranking. Retrieval evaluation should measure whether the correct page or slide appears in the top results.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25. Grounded Answer Generation</w:t>
      </w:r>
    </w:p>
    <w:p>
      <w:pPr>
        <w:spacing w:line="360" w:lineRule="auto" w:after="120"/>
      </w:pPr>
      <w:r>
        <w:t>answer_with_rag() receives a query and retrieved chunks. If no chunks are available, it returns a message that no relevant course notes or slides were found. Otherwise it formats each chunk with document name, section label, relevance score, and content. This context is placed into a prompt for the configured language model.</w:t>
      </w:r>
    </w:p>
    <w:p>
      <w:pPr>
        <w:spacing w:line="360" w:lineRule="auto" w:after="120"/>
      </w:pPr>
      <w:r>
        <w:t>The prompt instructs the tutor to ground the answer in the supplied excerpts, cite each fact using a document and section reference, separate direct source information from explanatory elaboration, and state when the source does not specify a detail. It also requests one follow-up question to assess understanding.</w:t>
      </w:r>
    </w:p>
    <w:p>
      <w:pPr>
        <w:spacing w:line="360" w:lineRule="auto" w:after="120"/>
      </w:pPr>
      <w:r>
        <w:t>A prompt instruction cannot guarantee perfect citation behavior. The application should review generated citations and ideally map each claim back to the retrieved passage. Users should be able to open or revisit the original material. If evidence is weak, the answer should clearly communicate that limitation.</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26. Database Design Overview</w:t>
      </w:r>
    </w:p>
    <w:p>
      <w:pPr>
        <w:spacing w:line="360" w:lineRule="auto" w:after="120"/>
      </w:pPr>
      <w:r>
        <w:t>DoubtBuster includes a SQLite database file and a database service module. SQLite is a file-based relational database suitable for local development and small deployments. The service exposes initialization and multiple operations for student activity. The archive indicates support for doubt history, bookmarks, difficult-topic flags, ratings, quizzes, coding attempts, notes, statistics, and faculty analytics.</w:t>
      </w:r>
    </w:p>
    <w:p>
      <w:pPr>
        <w:spacing w:line="360" w:lineRule="auto" w:after="120"/>
      </w:pPr>
      <w:r>
        <w:t>A database-backed design makes activity available across Streamlit reruns and sessions, unlike purely temporary variables. It also enables summary queries for progress views. The database schema should be treated as an implementation detail owned by db_service.py rather than duplicated throughout page files.</w:t>
      </w:r>
    </w:p>
    <w:p>
      <w:pPr>
        <w:spacing w:line="360" w:lineRule="auto" w:after="120"/>
      </w:pPr>
      <w:r>
        <w:t>Before deployment, document the exact tables, columns, indexes, constraints, and relationships from the live schema. Establish a backup plan and test restore procedures. If concurrent usage grows, evaluate whether SQLite remains suitable or whether a managed database is needed.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27. Database Service Operations</w:t>
      </w:r>
    </w:p>
    <w:p>
      <w:pPr>
        <w:spacing w:line="360" w:lineRule="auto" w:after="120"/>
      </w:pPr>
      <w:r>
        <w:t>db_service.py centralizes database access. Its responsibilities include opening connections, initializing schema, inserting or retrieving learning records, managing bookmarks and notes, recording quiz and coding activity, calculating student statistics, and preparing faculty-level aggregates. Centralization makes it easier to maintain SQL statements and consistent data handling.</w:t>
      </w:r>
    </w:p>
    <w:p>
      <w:pPr>
        <w:spacing w:line="360" w:lineRule="auto" w:after="120"/>
      </w:pPr>
      <w:r>
        <w:t>Each operation should use parameterized SQL rather than string concatenation for user-provided values. Connections and cursors should be closed reliably. Multi-step writes should use transactions so that partial updates do not leave inconsistent records. Database errors should be logged safely without exposing private information.</w:t>
      </w:r>
    </w:p>
    <w:p>
      <w:pPr>
        <w:spacing w:line="360" w:lineRule="auto" w:after="120"/>
      </w:pPr>
      <w:r>
        <w:t>The service should also define how records are associated with a student identity. If the current implementation uses a simple identifier or demonstration identity, that should not be treated as production authentication. Role checks and identity management must be implemented at the application boundary.</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28. Learning History Module</w:t>
      </w:r>
    </w:p>
    <w:p>
      <w:pPr>
        <w:spacing w:line="360" w:lineRule="auto" w:after="120"/>
      </w:pPr>
      <w:r>
        <w:t>The learning history page is intended to let students review previous questions and associated learning activity. This supports spaced revision: a student can return to an earlier topic, identify repeated doubts, and revisit an explanation before an assessment.</w:t>
      </w:r>
    </w:p>
    <w:p>
      <w:pPr>
        <w:spacing w:line="360" w:lineRule="auto" w:after="120"/>
      </w:pPr>
      <w:r>
        <w:t>The page should display records in a readable order and provide useful context such as question text, date, subject, or response status when those fields exist. If bookmarks or difficulty flags are supported, they can help students identify material that needs more practice. Search and filtering can improve navigation when the history becomes large.</w:t>
      </w:r>
    </w:p>
    <w:p>
      <w:pPr>
        <w:spacing w:line="360" w:lineRule="auto" w:after="120"/>
      </w:pPr>
      <w:r>
        <w:t>History is personal learning data. The application should prevent one student from viewing another student's records. The page should also handle an empty history gracefully and provide a clear message when no activity has yet been saved.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29. Practice Quiz Module</w:t>
      </w:r>
    </w:p>
    <w:p>
      <w:pPr>
        <w:spacing w:line="360" w:lineRule="auto" w:after="120"/>
      </w:pPr>
      <w:r>
        <w:t>The practice quiz page provides an interactive self-assessment workflow. The central pipeline includes a quiz-generation function, while the database service includes quiz-result persistence. Together these modules can support question generation, student responses, scoring, and review.</w:t>
      </w:r>
    </w:p>
    <w:p>
      <w:pPr>
        <w:spacing w:line="360" w:lineRule="auto" w:after="120"/>
      </w:pPr>
      <w:r>
        <w:t>A useful quiz experience should clearly state the topic, number of questions, available time if any, and scoring rules. After submission, the student should receive feedback that explains why an answer is correct or incorrect. The system should distinguish a practice score from a formal examination result.</w:t>
      </w:r>
    </w:p>
    <w:p>
      <w:pPr>
        <w:spacing w:line="360" w:lineRule="auto" w:after="120"/>
      </w:pPr>
      <w:r>
        <w:t>Generated questions require quality checks. They should be unambiguous, aligned to the selected topic, and have a defensible answer key. The system should avoid producing misleading questions from insufficient source material. Quiz results should be stored only with an appropriate student identity and privacy notice.</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30. Study Materials Module</w:t>
      </w:r>
    </w:p>
    <w:p>
      <w:pPr>
        <w:spacing w:line="360" w:lineRule="auto" w:after="120"/>
      </w:pPr>
      <w:r>
        <w:t>The study materials page provides a place to work with learning resources. The document service and RAG service indicate support for extracting content from documents and using it in study workflows. The sample data directory includes linear algebra notes, machine-learning notes, and Python code that can serve as demonstration material.</w:t>
      </w:r>
    </w:p>
    <w:p>
      <w:pPr>
        <w:spacing w:line="360" w:lineRule="auto" w:after="120"/>
      </w:pPr>
      <w:r>
        <w:t>Study resources can be organized by subject, unit, file name, or upload date. The application should identify supported formats and display extraction status. Students should be able to distinguish original source material from summaries or AI-generated explanations.</w:t>
      </w:r>
    </w:p>
    <w:p>
      <w:pPr>
        <w:spacing w:line="360" w:lineRule="auto" w:after="120"/>
      </w:pPr>
      <w:r>
        <w:t>The quality of extracted text affects all downstream functions. If an uploaded file contains complex equations, diagrams, or scanned pages, the text extraction may be incomplete. The system should communicate such limitations and preserve the original document for reference where permitted.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31. Student Progress Module</w:t>
      </w:r>
    </w:p>
    <w:p>
      <w:pPr>
        <w:spacing w:line="360" w:lineRule="auto" w:after="120"/>
      </w:pPr>
      <w:r>
        <w:t>The student progress page is intended to present a summary of learning activity. The database service includes statistics-related functions, suggesting that the page can use stored records to show activity over time. Potential measures include number of questions asked, quizzes attempted, quiz performance, topics revisited, and coding attempts, depending on the exact schema.</w:t>
      </w:r>
    </w:p>
    <w:p>
      <w:pPr>
        <w:spacing w:line="360" w:lineRule="auto" w:after="120"/>
      </w:pPr>
      <w:r>
        <w:t>Progress indicators should encourage learning rather than label students negatively. A low quiz score should be presented as a signal for further practice, not as a fixed judgement of ability. Metrics should be explained so that students understand what is counted and over what time period.</w:t>
      </w:r>
    </w:p>
    <w:p>
      <w:pPr>
        <w:spacing w:line="360" w:lineRule="auto" w:after="120"/>
      </w:pPr>
      <w:r>
        <w:t>The page should be tested with no records, a small number of records, and a large data set. Charts should have clear labels, meaningful units, and sensible empty-state behavior. Any comparison between students should be justified and privacy reviewed.</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32. Faculty Dashboard Module</w:t>
      </w:r>
    </w:p>
    <w:p>
      <w:pPr>
        <w:spacing w:line="360" w:lineRule="auto" w:after="120"/>
      </w:pPr>
      <w:r>
        <w:t>The faculty dashboard is intended to provide faculty-oriented views of student learning activity. The database service exposes faculty analytics functions, which may aggregate activity or identify topics where students need additional support. Such information can help instructors plan revision sessions or identify frequently asked questions.</w:t>
      </w:r>
    </w:p>
    <w:p>
      <w:pPr>
        <w:spacing w:line="360" w:lineRule="auto" w:after="120"/>
      </w:pPr>
      <w:r>
        <w:t>Analytics should be interpreted carefully. A high number of doubts may mean a topic is difficult, but it may also mean students are actively engaging. A low number of questions does not necessarily mean mastery. Dashboard metrics should therefore be considered alongside classroom assessment, attendance, and teacher judgement.</w:t>
      </w:r>
    </w:p>
    <w:p>
      <w:pPr>
        <w:spacing w:line="360" w:lineRule="auto" w:after="120"/>
      </w:pPr>
      <w:r>
        <w:t>Access must be restricted to authorized faculty. Aggregated views are preferable where individual student detail is not necessary. The project should define who can see each field, how long records are retained, and how students are informed about analytics use.</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33. Configuration and Environment</w:t>
      </w:r>
    </w:p>
    <w:p>
      <w:pPr>
        <w:spacing w:line="360" w:lineRule="auto" w:after="120"/>
      </w:pPr>
      <w:r>
        <w:t>The project includes backend/config.py, .env.example, and Streamlit configuration. The configuration module reads settings from Streamlit secrets or environment variables. This supports separating environment-specific credentials and settings from the Python source code.</w:t>
      </w:r>
    </w:p>
    <w:p>
      <w:pPr>
        <w:spacing w:line="360" w:lineRule="auto" w:after="120"/>
      </w:pPr>
      <w:r>
        <w:t>A deployment operator should inspect .env.example to identify exact variable names and expected values. The sample file should contain placeholders only. Real API keys must be stored in a protected environment or Streamlit secrets. They should not be committed to version control, included in screenshots, or printed in application logs.</w:t>
      </w:r>
    </w:p>
    <w:p>
      <w:pPr>
        <w:spacing w:line="360" w:lineRule="auto" w:after="120"/>
      </w:pPr>
      <w:r>
        <w:t>Different environments may require different settings, such as local development, test, and production. Configuration validation should happen at startup, with clear messages when required values are missing. Avoid exposing secret values in error messages.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34. Installation Guide</w:t>
      </w:r>
    </w:p>
    <w:p>
      <w:pPr>
        <w:spacing w:line="360" w:lineRule="auto" w:after="120"/>
      </w:pPr>
      <w:r>
        <w:t>First extract the supplied archive to a working directory. Confirm that the DoubtBuster folder contains app.py and requirements.txt. Install a supported Python version compatible with the pinned dependencies. It is recommended to create a virtual environment so that project packages do not conflict with other Python applications.</w:t>
      </w:r>
    </w:p>
    <w:p>
      <w:pPr>
        <w:spacing w:line="360" w:lineRule="auto" w:after="120"/>
      </w:pPr>
      <w:r>
        <w:t>Example setup commands are shown below. On Windows, activate the environment using the Scripts folder. On macOS or Linux, use the bin activation script. Install dependencies from requirements.txt after activation. If a package installation fails, review the Python version and package compatibility before changing versions.</w:t>
      </w:r>
    </w:p>
    <w:p>
      <w:pPr>
        <w:spacing w:line="360" w:lineRule="auto" w:after="120"/>
      </w:pPr>
      <w:r>
        <w:t>The archive contains cached pytest and bytecode folders; these are generated artifacts and are not required for a clean installation. A fresh environment should be used for reproducibility.</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pStyle w:val="Heading2"/>
      </w:pPr>
      <w:r>
        <w:t>Example commands</w:t>
      </w:r>
    </w:p>
    <w:p>
      <w:pPr>
        <w:spacing w:after="120" w:line="360" w:lineRule="auto"/>
        <w:ind w:left="259"/>
      </w:pPr>
      <w:r>
        <w:rPr>
          <w:rFonts w:ascii="Consolas" w:hAnsi="Consolas"/>
          <w:color w:val="373737"/>
          <w:sz w:val="15"/>
        </w:rPr>
        <w:t>python -m venv .venv</w:t>
      </w:r>
    </w:p>
    <w:p>
      <w:pPr>
        <w:spacing w:after="120" w:line="360" w:lineRule="auto"/>
        <w:ind w:left="259"/>
      </w:pPr>
      <w:r>
        <w:rPr>
          <w:rFonts w:ascii="Consolas" w:hAnsi="Consolas"/>
          <w:color w:val="373737"/>
          <w:sz w:val="15"/>
        </w:rPr>
        <w:t>pip install -r requirements.txt</w:t>
      </w:r>
    </w:p>
    <w:p>
      <w:pPr>
        <w:spacing w:after="120" w:line="360" w:lineRule="auto"/>
        <w:ind w:left="259"/>
      </w:pPr>
      <w:r>
        <w:rPr>
          <w:rFonts w:ascii="Consolas" w:hAnsi="Consolas"/>
          <w:color w:val="373737"/>
          <w:sz w:val="15"/>
        </w:rPr>
        <w:t>streamlit run app.py</w:t>
      </w:r>
    </w:p>
    <w:p>
      <w:pPr>
        <w:spacing w:line="360" w:lineRule="auto" w:after="120"/>
      </w:pPr>
      <w:r/>
    </w:p>
    <w:p>
      <w:pPr>
        <w:pStyle w:val="Heading1"/>
      </w:pPr>
      <w:r>
        <w:t>35. Application Execution Guide</w:t>
      </w:r>
    </w:p>
    <w:p>
      <w:pPr>
        <w:spacing w:line="360" w:lineRule="auto" w:after="120"/>
      </w:pPr>
      <w:r>
        <w:t>After installing dependencies and preparing the required configuration, run the application from the project root using Streamlit. The command is streamlit run app.py. Streamlit normally prints a local URL that can be opened in a browser. Keep the terminal open while using the development server so that logs and errors remain visible.</w:t>
      </w:r>
    </w:p>
    <w:p>
      <w:pPr>
        <w:spacing w:line="360" w:lineRule="auto" w:after="120"/>
      </w:pPr>
      <w:r>
        <w:t>If the page does not start, confirm that the virtual environment is active, dependencies installed successfully, and the command is being run from the directory containing app.py. If a provider-backed feature fails, verify the configuration and network access. If a database issue occurs, inspect the database service initialization and file permissions.</w:t>
      </w:r>
    </w:p>
    <w:p>
      <w:pPr>
        <w:spacing w:line="360" w:lineRule="auto" w:after="120"/>
      </w:pPr>
      <w:r>
        <w:t>A local development run is not the same as a secure public deployment. Before sharing the application over a network, configure authentication, access controls, HTTPS, secrets, resource limits, and a safe database backup process.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pStyle w:val="Heading2"/>
      </w:pPr>
      <w:r>
        <w:t>Example commands</w:t>
      </w:r>
    </w:p>
    <w:p>
      <w:pPr>
        <w:spacing w:after="120" w:line="360" w:lineRule="auto"/>
        <w:ind w:left="259"/>
      </w:pPr>
      <w:r>
        <w:rPr>
          <w:rFonts w:ascii="Consolas" w:hAnsi="Consolas"/>
          <w:color w:val="373737"/>
          <w:sz w:val="15"/>
        </w:rPr>
        <w:t>python -m venv .venv</w:t>
      </w:r>
    </w:p>
    <w:p>
      <w:pPr>
        <w:spacing w:after="120" w:line="360" w:lineRule="auto"/>
        <w:ind w:left="259"/>
      </w:pPr>
      <w:r>
        <w:rPr>
          <w:rFonts w:ascii="Consolas" w:hAnsi="Consolas"/>
          <w:color w:val="373737"/>
          <w:sz w:val="15"/>
        </w:rPr>
        <w:t>pip install -r requirements.txt</w:t>
      </w:r>
    </w:p>
    <w:p>
      <w:pPr>
        <w:spacing w:after="120" w:line="360" w:lineRule="auto"/>
        <w:ind w:left="259"/>
      </w:pPr>
      <w:r>
        <w:rPr>
          <w:rFonts w:ascii="Consolas" w:hAnsi="Consolas"/>
          <w:color w:val="373737"/>
          <w:sz w:val="15"/>
        </w:rPr>
        <w:t>streamlit run app.py</w:t>
      </w:r>
    </w:p>
    <w:p>
      <w:pPr>
        <w:spacing w:line="360" w:lineRule="auto" w:after="120"/>
      </w:pPr>
      <w:r/>
    </w:p>
    <w:p>
      <w:pPr>
        <w:pStyle w:val="Heading1"/>
      </w:pPr>
      <w:r>
        <w:t>36. Testing Strategy</w:t>
      </w:r>
    </w:p>
    <w:p>
      <w:pPr>
        <w:spacing w:line="360" w:lineRule="auto" w:after="120"/>
      </w:pPr>
      <w:r>
        <w:t>The project includes pytest test modules for the database service, math service, pipeline, retrieval/code execution, and validators. This indicates a testing approach that checks both individual functions and interactions between services. Tests help catch regressions when a module changes or dependencies are upgraded.</w:t>
      </w:r>
    </w:p>
    <w:p>
      <w:pPr>
        <w:spacing w:line="360" w:lineRule="auto" w:after="120"/>
      </w:pPr>
      <w:r>
        <w:t>A complete strategy should include unit tests for pure functions, integration tests for database operations and pipeline calls, and UI acceptance tests for important student workflows. External language-model calls should be mocked in deterministic tests to avoid network dependency and unpredictable output. Separate manual tests should cover the live provider configuration and actual Streamlit behavior.</w:t>
      </w:r>
    </w:p>
    <w:p>
      <w:pPr>
        <w:spacing w:line="360" w:lineRule="auto" w:after="120"/>
      </w:pPr>
      <w:r>
        <w:t>Test data should be synthetic and should not contain real student records or API credentials. Each test should clean up temporary records and avoid depending on the order in which tests execute.</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37. Test Module: Database</w:t>
      </w:r>
    </w:p>
    <w:p>
      <w:pPr>
        <w:spacing w:line="360" w:lineRule="auto" w:after="120"/>
      </w:pPr>
      <w:r>
        <w:t>tests/test_db_service.py covers the persistence layer. The visible test names indicate checks for database initialization and operations such as bookmarks, ratings, difficult-topic flags, quiz history, coding attempts, analytics, and data purging. These tests are important because multiple pages depend on the same stored information.</w:t>
      </w:r>
    </w:p>
    <w:p>
      <w:pPr>
        <w:spacing w:line="360" w:lineRule="auto" w:after="120"/>
      </w:pPr>
      <w:r>
        <w:t>Database tests should use a temporary database file or isolated test database. Each test should begin from a known state and remove its temporary data afterward. Tests should verify both successful operations and invalid or missing identifiers. Transaction rollback and connection cleanup should be checked where relevant.</w:t>
      </w:r>
    </w:p>
    <w:p>
      <w:pPr>
        <w:spacing w:line="360" w:lineRule="auto" w:after="120"/>
      </w:pPr>
      <w:r>
        <w:t>A passing database test suite provides evidence that the tested functions work for the tested cases. It does not prove that every production concurrency or data-loss scenario is handled. Backups and restore procedures need separate operational tests.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38. Test Module: Mathematics</w:t>
      </w:r>
    </w:p>
    <w:p>
      <w:pPr>
        <w:spacing w:line="360" w:lineRule="auto" w:after="120"/>
      </w:pPr>
      <w:r>
        <w:t>tests/test_math_service.py exercises the math service. The module name and source structure indicate coverage for expression solving, equation handling, matrix analysis, and Python code diagnosis. Deterministic math tests are particularly valuable because expected outputs can often be specified precisely.</w:t>
      </w:r>
    </w:p>
    <w:p>
      <w:pPr>
        <w:spacing w:line="360" w:lineRule="auto" w:after="120"/>
      </w:pPr>
      <w:r>
        <w:t>Test cases should include simple valid expressions, negative values, fractions, powers, malformed expressions, division-by-zero conditions, and equations with multiple or no solutions. Matrix tests should include square and non-square matrices, singular and invertible matrices, and invalid dimensions. Code diagnosis tests should include valid syntax and representative syntax errors.</w:t>
      </w:r>
    </w:p>
    <w:p>
      <w:pPr>
        <w:spacing w:line="360" w:lineRule="auto" w:after="120"/>
      </w:pPr>
      <w:r>
        <w:t>The tests should check not only that a function returns a value but also that it returns a clear error for invalid input. User-facing formatting should be tested separately from mathematical correctness.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39. Test Module: Pipeline</w:t>
      </w:r>
    </w:p>
    <w:p>
      <w:pPr>
        <w:spacing w:line="360" w:lineRule="auto" w:after="120"/>
      </w:pPr>
      <w:r>
        <w:t>tests/test_pipeline.py checks the central workflow. Visible test names indicate coverage for question answering, quiz generation, subject/domain examples, mathematics, and coding-related behavior. Pipeline tests verify that functions coordinate the right service and return a predictable result.</w:t>
      </w:r>
    </w:p>
    <w:p>
      <w:pPr>
        <w:spacing w:line="360" w:lineRule="auto" w:after="120"/>
      </w:pPr>
      <w:r>
        <w:t>External dependencies should be mocked so the test does not require a live API key or internet connection. Tests should cover both the normal path and failure paths, such as missing configuration, invalid input, or a service exception. Follow-up behavior should be checked to ensure that context is passed correctly where the design requires it.</w:t>
      </w:r>
    </w:p>
    <w:p>
      <w:pPr>
        <w:spacing w:line="360" w:lineRule="auto" w:after="120"/>
      </w:pPr>
      <w:r>
        <w:t>When the pipeline changes, update tests and ensure the UI still handles the returned data structure. Stable return formats reduce accidental breakage across pages.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40. Test Module: RAG and Code Execution</w:t>
      </w:r>
    </w:p>
    <w:p>
      <w:pPr>
        <w:spacing w:line="360" w:lineRule="auto" w:after="120"/>
      </w:pPr>
      <w:r>
        <w:t>tests/test_rag_code_exec.py combines checks for code execution and retrieval behavior. The test names indicate unsafe-pattern blocking, timeout handling, coding challenge evaluation, chunking, retrieval, and RAG answer formatting. These are critical because both features process user-supplied content.</w:t>
      </w:r>
    </w:p>
    <w:p>
      <w:pPr>
        <w:spacing w:line="360" w:lineRule="auto" w:after="120"/>
      </w:pPr>
      <w:r>
        <w:t>Code execution tests should verify ordinary safe programs, syntax errors, runtime errors, timeout cases, and selected blocked patterns. They should not be interpreted as a complete security certification. RAG tests should check that document metadata is preserved, chunk content is sensible, relevant passages are ranked, and the no-result response is understandable.</w:t>
      </w:r>
    </w:p>
    <w:p>
      <w:pPr>
        <w:spacing w:line="360" w:lineRule="auto" w:after="120"/>
      </w:pPr>
      <w:r>
        <w:t>The retrieval tests should use small deterministic sample documents. Real course material should also be evaluated manually because language, formatting, and domain terminology can affect retrieval quality.</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41. Test Module: Validation</w:t>
      </w:r>
    </w:p>
    <w:p>
      <w:pPr>
        <w:spacing w:line="360" w:lineRule="auto" w:after="120"/>
      </w:pPr>
      <w:r>
        <w:t>tests/test_validators.py checks question input validation. The validator rejects empty or whitespace-only questions and rejects inputs longer than MAX_QUESTION_CHARS. It accepts valid questions within the configured length.</w:t>
      </w:r>
    </w:p>
    <w:p>
      <w:pPr>
        <w:spacing w:line="360" w:lineRule="auto" w:after="120"/>
      </w:pPr>
      <w:r>
        <w:t>Boundary testing is important. Include a question with exactly the maximum allowed number of characters and one character above the limit. Also test None if the interface can pass it, non-string values if the function contract allows them, leading and trailing whitespace, and multilingual input. The current implementation is a small function, so tests can run quickly without external dependencies.</w:t>
      </w:r>
    </w:p>
    <w:p>
      <w:pPr>
        <w:spacing w:line="360" w:lineRule="auto" w:after="120"/>
      </w:pPr>
      <w:r>
        <w:t>The interface should catch ValueError and display the message in a student-friendly way. Validation should occur before expensive provider calls or document processing.</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42. Security Review</w:t>
      </w:r>
    </w:p>
    <w:p>
      <w:pPr>
        <w:spacing w:line="360" w:lineRule="auto" w:after="120"/>
      </w:pPr>
      <w:r>
        <w:t>Security review should focus on credentials, uploaded files, database access, user identity, and code execution. The project includes a pattern-based code filter and a subprocess timeout. These are useful safeguards but do not constitute a secure sandbox. A determined attacker may bypass simple text filters or exploit resource and operating-system behavior.</w:t>
      </w:r>
    </w:p>
    <w:p>
      <w:pPr>
        <w:spacing w:line="360" w:lineRule="auto" w:after="120"/>
      </w:pPr>
      <w:r>
        <w:t>For public deployment, execute untrusted code only inside a hardened isolated environment with strict resource limits, restricted filesystem access, no network access unless explicitly required, and a disposable runtime. Consider container or micro-VM isolation with a non-privileged user. Apply request rate limits and file size limits.</w:t>
      </w:r>
    </w:p>
    <w:p>
      <w:pPr>
        <w:spacing w:line="360" w:lineRule="auto" w:after="120"/>
      </w:pPr>
      <w:r>
        <w:t>Use parameterized SQL, protect secrets, patch dependencies, restrict faculty views, and avoid logging full student prompts unless necessary and disclosed. Conduct a threat model and security test before exposing the application to the internet.</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43. Privacy and Data Governance</w:t>
      </w:r>
    </w:p>
    <w:p>
      <w:pPr>
        <w:spacing w:line="360" w:lineRule="auto" w:after="120"/>
      </w:pPr>
      <w:r>
        <w:t>Learning history, quiz results, coding attempts, notes, and progress metrics can reveal student behavior. The institution should define a clear purpose for collecting each field and collect only what is needed. Students should receive a plain-language privacy notice explaining what is stored, who can access it, and how long it is retained.</w:t>
      </w:r>
    </w:p>
    <w:p>
      <w:pPr>
        <w:spacing w:line="360" w:lineRule="auto" w:after="120"/>
      </w:pPr>
      <w:r>
        <w:t>The system should use authenticated student identities and role-based authorization. Faculty access should be limited to legitimate educational purposes. Data exports and backups should be protected. Deletion requests and retention expiry should be supported through a documented process.</w:t>
      </w:r>
    </w:p>
    <w:p>
      <w:pPr>
        <w:spacing w:line="360" w:lineRule="auto" w:after="120"/>
      </w:pPr>
      <w:r>
        <w:t>Use synthetic or anonymized data in demonstrations. Do not include real student information in source-control repositories, test fixtures, screenshots, or public issue reports. Privacy and legal obligations should be reviewed with the institution before deployment.</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44. Error Handling and Reliability</w:t>
      </w:r>
    </w:p>
    <w:p>
      <w:pPr>
        <w:spacing w:line="360" w:lineRule="auto" w:after="120"/>
      </w:pPr>
      <w:r>
        <w:t>Potential failure points include invalid user input, missing API configuration, provider timeouts, network outages, unsupported document formats, corrupt files, retrieval errors, database failures, and code execution timeouts. The application should convert these failures into understandable messages while preserving diagnostic detail in protected logs.</w:t>
      </w:r>
    </w:p>
    <w:p>
      <w:pPr>
        <w:spacing w:line="360" w:lineRule="auto" w:after="120"/>
      </w:pPr>
      <w:r>
        <w:t>Errors should be categorized. User-correctable errors, such as an empty question, should be explained directly. Configuration errors should tell the administrator which setting is missing without revealing secrets. Provider and database errors should be recorded with a correlation identifier where practical.</w:t>
      </w:r>
    </w:p>
    <w:p>
      <w:pPr>
        <w:spacing w:line="360" w:lineRule="auto" w:after="120"/>
      </w:pPr>
      <w:r>
        <w:t>The system should avoid silent failure. For example, a failed document parse should not be presented as an empty but successfully processed document. Recovery options should be offered, such as trying a supported file format or checking configuration.</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45. Performance and Scalability</w:t>
      </w:r>
    </w:p>
    <w:p>
      <w:pPr>
        <w:spacing w:line="360" w:lineRule="auto" w:after="120"/>
      </w:pPr>
      <w:r>
        <w:t>Performance depends on several components: Streamlit reruns, database queries, document parsing, TF-IDF vectorization, code execution, and remote model response time. Large files and repeated vectorization may increase latency. The current local SQLite approach is convenient for development but should be evaluated under expected concurrent usage.</w:t>
      </w:r>
    </w:p>
    <w:p>
      <w:pPr>
        <w:spacing w:line="360" w:lineRule="auto" w:after="120"/>
      </w:pPr>
      <w:r>
        <w:t>Possible optimizations include caching parsed documents, reusing retrieval indexes, limiting upload sizes, paginating history, indexing database columns used in filters, and setting explicit provider timeouts. Any cache must be scoped carefully so that one student's private data is not exposed to another user.</w:t>
      </w:r>
    </w:p>
    <w:p>
      <w:pPr>
        <w:spacing w:line="360" w:lineRule="auto" w:after="120"/>
      </w:pPr>
      <w:r>
        <w:t>Load testing should represent realistic classroom usage. Measure response time, error rate, CPU and memory use, database lock behavior, and provider rate limits. Do not claim a maximum user count without measured evidence.</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46. Deployment Considerations</w:t>
      </w:r>
    </w:p>
    <w:p>
      <w:pPr>
        <w:spacing w:line="360" w:lineRule="auto" w:after="120"/>
      </w:pPr>
      <w:r>
        <w:t>A deployment plan should specify the hosting platform, Python runtime, dependency installation process, environment secrets, persistent storage, authentication, HTTPS, logging, monitoring, and backup strategy. Streamlit can be run locally or hosted, but production configuration depends on the chosen environment.</w:t>
      </w:r>
    </w:p>
    <w:p>
      <w:pPr>
        <w:spacing w:line="360" w:lineRule="auto" w:after="120"/>
      </w:pPr>
      <w:r>
        <w:t>The SQLite database file must be stored on persistent storage. Some ephemeral hosting environments may discard local files during restart or redeployment. If the application needs multiple instances or concurrent writes, consider a managed relational database and update the database service accordingly.</w:t>
      </w:r>
    </w:p>
    <w:p>
      <w:pPr>
        <w:spacing w:line="360" w:lineRule="auto" w:after="120"/>
      </w:pPr>
      <w:r>
        <w:t>Before release, run the full test suite, verify all required secrets, test uploads, check access control, confirm backup restoration, and conduct a security review. Maintain a rollback plan for application and database schema changes.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47. User Guide for Students</w:t>
      </w:r>
    </w:p>
    <w:p>
      <w:pPr>
        <w:spacing w:line="360" w:lineRule="auto" w:after="120"/>
      </w:pPr>
      <w:r>
        <w:t>Open the DoubtBuster application using the URL provided by the institution. Navigate to the doubt-solving page and enter a clear question. Include the subject or topic when it helps clarify the context. Avoid entering personal information that is not needed to answer the academic question.</w:t>
      </w:r>
    </w:p>
    <w:p>
      <w:pPr>
        <w:spacing w:line="360" w:lineRule="auto" w:after="120"/>
      </w:pPr>
      <w:r>
        <w:t>Use the learning history page to revisit earlier questions. Use the practice quiz page to check understanding. Use study materials to work with course documents supported by the application. Use student progress to review learning activity. If a document does not parse correctly, try a text-based or supported format and consult the original document.</w:t>
      </w:r>
    </w:p>
    <w:p>
      <w:pPr>
        <w:spacing w:line="360" w:lineRule="auto" w:after="120"/>
      </w:pPr>
      <w:r>
        <w:t>Treat generated answers as study assistance. Compare important explanations with class notes and textbooks. If the answer is unclear, ask a more specific follow-up or consult the instructor. Do not submit AI-generated work as your own where academic rules prohibit it.</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48. User Guide for Faculty</w:t>
      </w:r>
    </w:p>
    <w:p>
      <w:pPr>
        <w:spacing w:line="360" w:lineRule="auto" w:after="120"/>
      </w:pPr>
      <w:r>
        <w:t>Faculty users should access the faculty dashboard only through an authorized account and approved institutional process. The dashboard may summarize student activity and learning trends. Use aggregate indicators to identify topics that may need additional explanation or practice.</w:t>
      </w:r>
    </w:p>
    <w:p>
      <w:pPr>
        <w:spacing w:line="360" w:lineRule="auto" w:after="120"/>
      </w:pPr>
      <w:r>
        <w:t>Interpret metrics in context. The number of doubts, quiz attempts, or coding submissions is not a complete measure of student ability. Use the information to support teaching decisions rather than as the sole basis for grading or student evaluation.</w:t>
      </w:r>
    </w:p>
    <w:p>
      <w:pPr>
        <w:spacing w:line="360" w:lineRule="auto" w:after="120"/>
      </w:pPr>
      <w:r>
        <w:t>Do not export or share student-level data unless there is a legitimate educational need and institutional approval. Report inaccurate analytics or access-control issues to the project administrator. Faculty members should also review course material uploaded to the system for accuracy and permissions.</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49. Maintenance and Troubleshooting</w:t>
      </w:r>
    </w:p>
    <w:p>
      <w:pPr>
        <w:spacing w:line="360" w:lineRule="auto" w:after="120"/>
      </w:pPr>
      <w:r>
        <w:t>For startup failures, confirm the working directory, Python environment, dependency installation, and Streamlit command. For model errors, verify the configured provider, secret names, API key validity, network access, and provider availability. Never paste a secret key into a support request.</w:t>
      </w:r>
    </w:p>
    <w:p>
      <w:pPr>
        <w:spacing w:line="360" w:lineRule="auto" w:after="120"/>
      </w:pPr>
      <w:r>
        <w:t>For document issues, confirm that the format is supported and the file contains selectable text. For database issues, check file permissions and whether the database file is on persistent storage. For code execution timeouts, review the program logic and configured time limit; do not disable safety controls to make a program pass.</w:t>
      </w:r>
    </w:p>
    <w:p>
      <w:pPr>
        <w:spacing w:line="360" w:lineRule="auto" w:after="120"/>
      </w:pPr>
      <w:r>
        <w:t>Maintenance tasks include dependency updates, test execution, database backups, log review, security patching, and periodic review of stored data. Record changes and keep a known-good release available for rollback.</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50. Limitations and Future Enhancements</w:t>
      </w:r>
    </w:p>
    <w:p>
      <w:pPr>
        <w:spacing w:line="360" w:lineRule="auto" w:after="120"/>
      </w:pPr>
      <w:r>
        <w:t>Current limitations include dependence on the quality and availability of configured language-model providers, keyword-based offline domain detection, lexical TF-IDF retrieval, incomplete extraction of complex document content, and limited code-execution protections. The archive alone does not prove production-grade authentication, authorization, or high-availability deployment.</w:t>
      </w:r>
    </w:p>
    <w:p>
      <w:pPr>
        <w:spacing w:line="360" w:lineRule="auto" w:after="120"/>
      </w:pPr>
      <w:r>
        <w:t>Future improvements could include stronger identity and role management, safer isolated code execution, richer document extraction including OCR where appropriate, hybrid semantic retrieval, source-linked answer review, better quiz validation, accessible UI design, and detailed analytics definitions. The database could be migrated if usage requirements exceed the practical limits of a local SQLite file.</w:t>
      </w:r>
    </w:p>
    <w:p>
      <w:pPr>
        <w:spacing w:line="360" w:lineRule="auto" w:after="120"/>
      </w:pPr>
      <w:r>
        <w:t>Each enhancement should be prioritized using student and faculty feedback, measurable learning outcomes, security risk, and maintenance cost. New features should include tests and documentation from the beginning.</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51. Conclusion and References</w:t>
      </w:r>
    </w:p>
    <w:p>
      <w:pPr>
        <w:spacing w:line="360" w:lineRule="auto" w:after="120"/>
      </w:pPr>
      <w:r>
        <w:t>DoubtBuster is a modular educational support application that brings together question answering, offline tutoring, math and code support, document retrieval, learning history, quizzes, study materials, student progress, and faculty analytics. Its separation into a Streamlit interface, central pipeline, specialized services, validation utilities, and database operations provides a useful foundation for continued development.</w:t>
      </w:r>
    </w:p>
    <w:p>
      <w:pPr>
        <w:spacing w:line="360" w:lineRule="auto" w:after="120"/>
      </w:pPr>
      <w:r>
        <w:t>The most important next steps are to validate each workflow in a live run, document the exact database schema and configuration variables, strengthen authentication and privacy controls, and replace the current limited code-execution safeguards with a hardened isolation strategy before public deployment.</w:t>
      </w:r>
    </w:p>
    <w:p>
      <w:pPr>
        <w:spacing w:line="360" w:lineRule="auto" w:after="120"/>
      </w:pPr>
      <w:r>
        <w:t>Primary project references used for this document: README.md; requirements.txt; .env.example; app.py; backend/config.py; backend/core/pipeline.py; backend/services/*.py; backend/utils/validators.py; pages/*.py; tests/*.py; and the existing documents in docs/. This documentation is a technical description of the supplied archive, not a certification of correctness, security, or institutional compliance.</w:t>
      </w:r>
    </w:p>
    <w:p>
      <w:pPr>
        <w:pStyle w:val="Heading2"/>
      </w:pPr>
      <w:r>
        <w:t>Implementation notes and review checklist</w:t>
      </w:r>
    </w:p>
    <w:p>
      <w:pPr>
        <w:pStyle w:val="ListBullet"/>
        <w:spacing w:after="120" w:line="360" w:lineRule="auto"/>
      </w:pPr>
      <w:r>
        <w:t>Confirm the described behavior against the current source and a live application run.</w:t>
      </w:r>
    </w:p>
    <w:p>
      <w:pPr>
        <w:pStyle w:val="ListBullet"/>
        <w:spacing w:after="120" w:line="360" w:lineRule="auto"/>
      </w:pPr>
      <w:r>
        <w:t>Keep input validation, error handling, and user-facing messages consistent across pages.</w:t>
      </w:r>
    </w:p>
    <w:p>
      <w:pPr>
        <w:pStyle w:val="ListBullet"/>
        <w:spacing w:after="120" w:line="360" w:lineRule="auto"/>
      </w:pPr>
      <w:r>
        <w:t>Add or update automated tests whenever the module's behavior changes.</w:t>
      </w:r>
    </w:p>
    <w:p>
      <w:pPr>
        <w:pStyle w:val="ListBullet"/>
        <w:spacing w:after="120" w:line="360" w:lineRule="auto"/>
      </w:pPr>
      <w:r>
        <w:t>Document configuration, data handling, and access requirements before deployment.</w:t>
      </w:r>
    </w:p>
    <w:p>
      <w:pPr>
        <w:spacing w:line="360" w:lineRule="auto" w:after="120"/>
      </w:pPr>
      <w:r/>
    </w:p>
    <w:p>
      <w:pPr>
        <w:pStyle w:val="Heading1"/>
      </w:pPr>
      <w:r>
        <w:t>APPENDIX A — PROJECT FILE INVENTORY</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tcPr>
          <w:p>
            <w:pPr>
              <w:spacing w:line="276" w:lineRule="auto" w:after="40"/>
            </w:pPr>
            <w:r>
              <w:rPr>
                <w:rFonts w:ascii="Times New Roman" w:hAnsi="Times New Roman"/>
                <w:sz w:val="20"/>
              </w:rPr>
              <w:t>Path</w:t>
            </w:r>
          </w:p>
        </w:tc>
        <w:tc>
          <w:tcPr>
            <w:tcW w:type="dxa" w:w="5083"/>
          </w:tcPr>
          <w:p>
            <w:pPr>
              <w:spacing w:line="276" w:lineRule="auto" w:after="40"/>
            </w:pPr>
            <w:r>
              <w:rPr>
                <w:rFonts w:ascii="Times New Roman" w:hAnsi="Times New Roman"/>
                <w:sz w:val="20"/>
              </w:rPr>
              <w:t>Role</w:t>
            </w:r>
          </w:p>
        </w:tc>
      </w:tr>
      <w:tr>
        <w:tc>
          <w:tcPr>
            <w:tcW w:type="dxa" w:w="5083"/>
            <w:vAlign w:val="center"/>
          </w:tcPr>
          <w:p>
            <w:pPr>
              <w:spacing w:line="276" w:lineRule="auto" w:after="40"/>
            </w:pPr>
            <w:r>
              <w:rPr>
                <w:rFonts w:ascii="Times New Roman" w:hAnsi="Times New Roman"/>
                <w:sz w:val="20"/>
              </w:rPr>
              <w:t>app.py</w:t>
            </w:r>
          </w:p>
        </w:tc>
        <w:tc>
          <w:tcPr>
            <w:tcW w:type="dxa" w:w="5083"/>
            <w:vAlign w:val="center"/>
          </w:tcPr>
          <w:p>
            <w:pPr>
              <w:spacing w:line="276" w:lineRule="auto" w:after="40"/>
            </w:pPr>
            <w:r>
              <w:rPr>
                <w:rFonts w:ascii="Times New Roman" w:hAnsi="Times New Roman"/>
                <w:sz w:val="20"/>
              </w:rPr>
              <w:t>Main Streamlit entry point</w:t>
            </w:r>
          </w:p>
        </w:tc>
      </w:tr>
      <w:tr>
        <w:tc>
          <w:tcPr>
            <w:tcW w:type="dxa" w:w="5083"/>
            <w:vAlign w:val="center"/>
          </w:tcPr>
          <w:p>
            <w:pPr>
              <w:spacing w:line="276" w:lineRule="auto" w:after="40"/>
            </w:pPr>
            <w:r>
              <w:rPr>
                <w:rFonts w:ascii="Times New Roman" w:hAnsi="Times New Roman"/>
                <w:sz w:val="20"/>
              </w:rPr>
              <w:t>backend/config.py</w:t>
            </w:r>
          </w:p>
        </w:tc>
        <w:tc>
          <w:tcPr>
            <w:tcW w:type="dxa" w:w="5083"/>
            <w:vAlign w:val="center"/>
          </w:tcPr>
          <w:p>
            <w:pPr>
              <w:spacing w:line="276" w:lineRule="auto" w:after="40"/>
            </w:pPr>
            <w:r>
              <w:rPr>
                <w:rFonts w:ascii="Times New Roman" w:hAnsi="Times New Roman"/>
                <w:sz w:val="20"/>
              </w:rPr>
              <w:t>Environment and secret configuration</w:t>
            </w:r>
          </w:p>
        </w:tc>
      </w:tr>
      <w:tr>
        <w:tc>
          <w:tcPr>
            <w:tcW w:type="dxa" w:w="5083"/>
            <w:vAlign w:val="center"/>
          </w:tcPr>
          <w:p>
            <w:pPr>
              <w:spacing w:line="276" w:lineRule="auto" w:after="40"/>
            </w:pPr>
            <w:r>
              <w:rPr>
                <w:rFonts w:ascii="Times New Roman" w:hAnsi="Times New Roman"/>
                <w:sz w:val="20"/>
              </w:rPr>
              <w:t>backend/core/pipeline.py</w:t>
            </w:r>
          </w:p>
        </w:tc>
        <w:tc>
          <w:tcPr>
            <w:tcW w:type="dxa" w:w="5083"/>
            <w:vAlign w:val="center"/>
          </w:tcPr>
          <w:p>
            <w:pPr>
              <w:spacing w:line="276" w:lineRule="auto" w:after="40"/>
            </w:pPr>
            <w:r>
              <w:rPr>
                <w:rFonts w:ascii="Times New Roman" w:hAnsi="Times New Roman"/>
                <w:sz w:val="20"/>
              </w:rPr>
              <w:t>Central tutoring workflow</w:t>
            </w:r>
          </w:p>
        </w:tc>
      </w:tr>
      <w:tr>
        <w:tc>
          <w:tcPr>
            <w:tcW w:type="dxa" w:w="5083"/>
            <w:vAlign w:val="center"/>
          </w:tcPr>
          <w:p>
            <w:pPr>
              <w:spacing w:line="276" w:lineRule="auto" w:after="40"/>
            </w:pPr>
            <w:r>
              <w:rPr>
                <w:rFonts w:ascii="Times New Roman" w:hAnsi="Times New Roman"/>
                <w:sz w:val="20"/>
              </w:rPr>
              <w:t>backend/services/code_exec_service.py</w:t>
            </w:r>
          </w:p>
        </w:tc>
        <w:tc>
          <w:tcPr>
            <w:tcW w:type="dxa" w:w="5083"/>
            <w:vAlign w:val="center"/>
          </w:tcPr>
          <w:p>
            <w:pPr>
              <w:spacing w:line="276" w:lineRule="auto" w:after="40"/>
            </w:pPr>
            <w:r>
              <w:rPr>
                <w:rFonts w:ascii="Times New Roman" w:hAnsi="Times New Roman"/>
                <w:sz w:val="20"/>
              </w:rPr>
              <w:t>Code safety checks and subprocess runner</w:t>
            </w:r>
          </w:p>
        </w:tc>
      </w:tr>
      <w:tr>
        <w:tc>
          <w:tcPr>
            <w:tcW w:type="dxa" w:w="5083"/>
            <w:vAlign w:val="center"/>
          </w:tcPr>
          <w:p>
            <w:pPr>
              <w:spacing w:line="276" w:lineRule="auto" w:after="40"/>
            </w:pPr>
            <w:r>
              <w:rPr>
                <w:rFonts w:ascii="Times New Roman" w:hAnsi="Times New Roman"/>
                <w:sz w:val="20"/>
              </w:rPr>
              <w:t>backend/services/db_service.py</w:t>
            </w:r>
          </w:p>
        </w:tc>
        <w:tc>
          <w:tcPr>
            <w:tcW w:type="dxa" w:w="5083"/>
            <w:vAlign w:val="center"/>
          </w:tcPr>
          <w:p>
            <w:pPr>
              <w:spacing w:line="276" w:lineRule="auto" w:after="40"/>
            </w:pPr>
            <w:r>
              <w:rPr>
                <w:rFonts w:ascii="Times New Roman" w:hAnsi="Times New Roman"/>
                <w:sz w:val="20"/>
              </w:rPr>
              <w:t>SQLite persistence and analytics operations</w:t>
            </w:r>
          </w:p>
        </w:tc>
      </w:tr>
      <w:tr>
        <w:tc>
          <w:tcPr>
            <w:tcW w:type="dxa" w:w="5083"/>
            <w:vAlign w:val="center"/>
          </w:tcPr>
          <w:p>
            <w:pPr>
              <w:spacing w:line="276" w:lineRule="auto" w:after="40"/>
            </w:pPr>
            <w:r>
              <w:rPr>
                <w:rFonts w:ascii="Times New Roman" w:hAnsi="Times New Roman"/>
                <w:sz w:val="20"/>
              </w:rPr>
              <w:t>backend/services/doc_service.py</w:t>
            </w:r>
          </w:p>
        </w:tc>
        <w:tc>
          <w:tcPr>
            <w:tcW w:type="dxa" w:w="5083"/>
            <w:vAlign w:val="center"/>
          </w:tcPr>
          <w:p>
            <w:pPr>
              <w:spacing w:line="276" w:lineRule="auto" w:after="40"/>
            </w:pPr>
            <w:r>
              <w:rPr>
                <w:rFonts w:ascii="Times New Roman" w:hAnsi="Times New Roman"/>
                <w:sz w:val="20"/>
              </w:rPr>
              <w:t>Document text extraction and study material</w:t>
            </w:r>
          </w:p>
        </w:tc>
      </w:tr>
      <w:tr>
        <w:tc>
          <w:tcPr>
            <w:tcW w:type="dxa" w:w="5083"/>
            <w:vAlign w:val="center"/>
          </w:tcPr>
          <w:p>
            <w:pPr>
              <w:spacing w:line="276" w:lineRule="auto" w:after="40"/>
            </w:pPr>
            <w:r>
              <w:rPr>
                <w:rFonts w:ascii="Times New Roman" w:hAnsi="Times New Roman"/>
                <w:sz w:val="20"/>
              </w:rPr>
              <w:t>backend/services/llm_service.py</w:t>
            </w:r>
          </w:p>
        </w:tc>
        <w:tc>
          <w:tcPr>
            <w:tcW w:type="dxa" w:w="5083"/>
            <w:vAlign w:val="center"/>
          </w:tcPr>
          <w:p>
            <w:pPr>
              <w:spacing w:line="276" w:lineRule="auto" w:after="40"/>
            </w:pPr>
            <w:r>
              <w:rPr>
                <w:rFonts w:ascii="Times New Roman" w:hAnsi="Times New Roman"/>
                <w:sz w:val="20"/>
              </w:rPr>
              <w:t>Hosted model interface</w:t>
            </w:r>
          </w:p>
        </w:tc>
      </w:tr>
      <w:tr>
        <w:tc>
          <w:tcPr>
            <w:tcW w:type="dxa" w:w="5083"/>
            <w:vAlign w:val="center"/>
          </w:tcPr>
          <w:p>
            <w:pPr>
              <w:spacing w:line="276" w:lineRule="auto" w:after="40"/>
            </w:pPr>
            <w:r>
              <w:rPr>
                <w:rFonts w:ascii="Times New Roman" w:hAnsi="Times New Roman"/>
                <w:sz w:val="20"/>
              </w:rPr>
              <w:t>backend/services/math_code_service.py</w:t>
            </w:r>
          </w:p>
        </w:tc>
        <w:tc>
          <w:tcPr>
            <w:tcW w:type="dxa" w:w="5083"/>
            <w:vAlign w:val="center"/>
          </w:tcPr>
          <w:p>
            <w:pPr>
              <w:spacing w:line="276" w:lineRule="auto" w:after="40"/>
            </w:pPr>
            <w:r>
              <w:rPr>
                <w:rFonts w:ascii="Times New Roman" w:hAnsi="Times New Roman"/>
                <w:sz w:val="20"/>
              </w:rPr>
              <w:t>Math, matrix and code diagnosis</w:t>
            </w:r>
          </w:p>
        </w:tc>
      </w:tr>
      <w:tr>
        <w:tc>
          <w:tcPr>
            <w:tcW w:type="dxa" w:w="5083"/>
            <w:vAlign w:val="center"/>
          </w:tcPr>
          <w:p>
            <w:pPr>
              <w:spacing w:line="276" w:lineRule="auto" w:after="40"/>
            </w:pPr>
            <w:r>
              <w:rPr>
                <w:rFonts w:ascii="Times New Roman" w:hAnsi="Times New Roman"/>
                <w:sz w:val="20"/>
              </w:rPr>
              <w:t>backend/services/offline_tutor.py</w:t>
            </w:r>
          </w:p>
        </w:tc>
        <w:tc>
          <w:tcPr>
            <w:tcW w:type="dxa" w:w="5083"/>
            <w:vAlign w:val="center"/>
          </w:tcPr>
          <w:p>
            <w:pPr>
              <w:spacing w:line="276" w:lineRule="auto" w:after="40"/>
            </w:pPr>
            <w:r>
              <w:rPr>
                <w:rFonts w:ascii="Times New Roman" w:hAnsi="Times New Roman"/>
                <w:sz w:val="20"/>
              </w:rPr>
              <w:t>Offline academic response and domain detection</w:t>
            </w:r>
          </w:p>
        </w:tc>
      </w:tr>
      <w:tr>
        <w:tc>
          <w:tcPr>
            <w:tcW w:type="dxa" w:w="5083"/>
            <w:vAlign w:val="center"/>
          </w:tcPr>
          <w:p>
            <w:pPr>
              <w:spacing w:line="276" w:lineRule="auto" w:after="40"/>
            </w:pPr>
            <w:r>
              <w:rPr>
                <w:rFonts w:ascii="Times New Roman" w:hAnsi="Times New Roman"/>
                <w:sz w:val="20"/>
              </w:rPr>
              <w:t>backend/services/rag_service.py</w:t>
            </w:r>
          </w:p>
        </w:tc>
        <w:tc>
          <w:tcPr>
            <w:tcW w:type="dxa" w:w="5083"/>
            <w:vAlign w:val="center"/>
          </w:tcPr>
          <w:p>
            <w:pPr>
              <w:spacing w:line="276" w:lineRule="auto" w:after="40"/>
            </w:pPr>
            <w:r>
              <w:rPr>
                <w:rFonts w:ascii="Times New Roman" w:hAnsi="Times New Roman"/>
                <w:sz w:val="20"/>
              </w:rPr>
              <w:t>Document parsing, chunking, retrieval and grounded answers</w:t>
            </w:r>
          </w:p>
        </w:tc>
      </w:tr>
      <w:tr>
        <w:tc>
          <w:tcPr>
            <w:tcW w:type="dxa" w:w="5083"/>
            <w:vAlign w:val="center"/>
          </w:tcPr>
          <w:p>
            <w:pPr>
              <w:spacing w:line="276" w:lineRule="auto" w:after="40"/>
            </w:pPr>
            <w:r>
              <w:rPr>
                <w:rFonts w:ascii="Times New Roman" w:hAnsi="Times New Roman"/>
                <w:sz w:val="20"/>
              </w:rPr>
              <w:t>backend/utils/validators.py</w:t>
            </w:r>
          </w:p>
        </w:tc>
        <w:tc>
          <w:tcPr>
            <w:tcW w:type="dxa" w:w="5083"/>
            <w:vAlign w:val="center"/>
          </w:tcPr>
          <w:p>
            <w:pPr>
              <w:spacing w:line="276" w:lineRule="auto" w:after="40"/>
            </w:pPr>
            <w:r>
              <w:rPr>
                <w:rFonts w:ascii="Times New Roman" w:hAnsi="Times New Roman"/>
                <w:sz w:val="20"/>
              </w:rPr>
              <w:t>Question input validation</w:t>
            </w:r>
          </w:p>
        </w:tc>
      </w:tr>
      <w:tr>
        <w:tc>
          <w:tcPr>
            <w:tcW w:type="dxa" w:w="5083"/>
            <w:vAlign w:val="center"/>
          </w:tcPr>
          <w:p>
            <w:pPr>
              <w:spacing w:line="276" w:lineRule="auto" w:after="40"/>
            </w:pPr>
            <w:r>
              <w:rPr>
                <w:rFonts w:ascii="Times New Roman" w:hAnsi="Times New Roman"/>
                <w:sz w:val="20"/>
              </w:rPr>
              <w:t>pages/1_Learning_History.py</w:t>
            </w:r>
          </w:p>
        </w:tc>
        <w:tc>
          <w:tcPr>
            <w:tcW w:type="dxa" w:w="5083"/>
            <w:vAlign w:val="center"/>
          </w:tcPr>
          <w:p>
            <w:pPr>
              <w:spacing w:line="276" w:lineRule="auto" w:after="40"/>
            </w:pPr>
            <w:r>
              <w:rPr>
                <w:rFonts w:ascii="Times New Roman" w:hAnsi="Times New Roman"/>
                <w:sz w:val="20"/>
              </w:rPr>
              <w:t>Learning history page</w:t>
            </w:r>
          </w:p>
        </w:tc>
      </w:tr>
      <w:tr>
        <w:tc>
          <w:tcPr>
            <w:tcW w:type="dxa" w:w="5083"/>
            <w:vAlign w:val="center"/>
          </w:tcPr>
          <w:p>
            <w:pPr>
              <w:spacing w:line="276" w:lineRule="auto" w:after="40"/>
            </w:pPr>
            <w:r>
              <w:rPr>
                <w:rFonts w:ascii="Times New Roman" w:hAnsi="Times New Roman"/>
                <w:sz w:val="20"/>
              </w:rPr>
              <w:t>pages/2_Practice_Quiz.py</w:t>
            </w:r>
          </w:p>
        </w:tc>
        <w:tc>
          <w:tcPr>
            <w:tcW w:type="dxa" w:w="5083"/>
            <w:vAlign w:val="center"/>
          </w:tcPr>
          <w:p>
            <w:pPr>
              <w:spacing w:line="276" w:lineRule="auto" w:after="40"/>
            </w:pPr>
            <w:r>
              <w:rPr>
                <w:rFonts w:ascii="Times New Roman" w:hAnsi="Times New Roman"/>
                <w:sz w:val="20"/>
              </w:rPr>
              <w:t>Practice quiz page</w:t>
            </w:r>
          </w:p>
        </w:tc>
      </w:tr>
      <w:tr>
        <w:tc>
          <w:tcPr>
            <w:tcW w:type="dxa" w:w="5083"/>
            <w:vAlign w:val="center"/>
          </w:tcPr>
          <w:p>
            <w:pPr>
              <w:spacing w:line="276" w:lineRule="auto" w:after="40"/>
            </w:pPr>
            <w:r>
              <w:rPr>
                <w:rFonts w:ascii="Times New Roman" w:hAnsi="Times New Roman"/>
                <w:sz w:val="20"/>
              </w:rPr>
              <w:t>pages/3_Study_Materials.py</w:t>
            </w:r>
          </w:p>
        </w:tc>
        <w:tc>
          <w:tcPr>
            <w:tcW w:type="dxa" w:w="5083"/>
            <w:vAlign w:val="center"/>
          </w:tcPr>
          <w:p>
            <w:pPr>
              <w:spacing w:line="276" w:lineRule="auto" w:after="40"/>
            </w:pPr>
            <w:r>
              <w:rPr>
                <w:rFonts w:ascii="Times New Roman" w:hAnsi="Times New Roman"/>
                <w:sz w:val="20"/>
              </w:rPr>
              <w:t>Study materials page</w:t>
            </w:r>
          </w:p>
        </w:tc>
      </w:tr>
      <w:tr>
        <w:tc>
          <w:tcPr>
            <w:tcW w:type="dxa" w:w="5083"/>
            <w:vAlign w:val="center"/>
          </w:tcPr>
          <w:p>
            <w:pPr>
              <w:spacing w:line="276" w:lineRule="auto" w:after="40"/>
            </w:pPr>
            <w:r>
              <w:rPr>
                <w:rFonts w:ascii="Times New Roman" w:hAnsi="Times New Roman"/>
                <w:sz w:val="20"/>
              </w:rPr>
              <w:t>pages/4_Student_Progress.py</w:t>
            </w:r>
          </w:p>
        </w:tc>
        <w:tc>
          <w:tcPr>
            <w:tcW w:type="dxa" w:w="5083"/>
            <w:vAlign w:val="center"/>
          </w:tcPr>
          <w:p>
            <w:pPr>
              <w:spacing w:line="276" w:lineRule="auto" w:after="40"/>
            </w:pPr>
            <w:r>
              <w:rPr>
                <w:rFonts w:ascii="Times New Roman" w:hAnsi="Times New Roman"/>
                <w:sz w:val="20"/>
              </w:rPr>
              <w:t>Student progress page</w:t>
            </w:r>
          </w:p>
        </w:tc>
      </w:tr>
      <w:tr>
        <w:tc>
          <w:tcPr>
            <w:tcW w:type="dxa" w:w="5083"/>
            <w:vAlign w:val="center"/>
          </w:tcPr>
          <w:p>
            <w:pPr>
              <w:spacing w:line="276" w:lineRule="auto" w:after="40"/>
            </w:pPr>
            <w:r>
              <w:rPr>
                <w:rFonts w:ascii="Times New Roman" w:hAnsi="Times New Roman"/>
                <w:sz w:val="20"/>
              </w:rPr>
              <w:t>pages/5_Faculty_Dashboard.py</w:t>
            </w:r>
          </w:p>
        </w:tc>
        <w:tc>
          <w:tcPr>
            <w:tcW w:type="dxa" w:w="5083"/>
            <w:vAlign w:val="center"/>
          </w:tcPr>
          <w:p>
            <w:pPr>
              <w:spacing w:line="276" w:lineRule="auto" w:after="40"/>
            </w:pPr>
            <w:r>
              <w:rPr>
                <w:rFonts w:ascii="Times New Roman" w:hAnsi="Times New Roman"/>
                <w:sz w:val="20"/>
              </w:rPr>
              <w:t>Faculty dashboard</w:t>
            </w:r>
          </w:p>
        </w:tc>
      </w:tr>
      <w:tr>
        <w:tc>
          <w:tcPr>
            <w:tcW w:type="dxa" w:w="5083"/>
            <w:vAlign w:val="center"/>
          </w:tcPr>
          <w:p>
            <w:pPr>
              <w:spacing w:line="276" w:lineRule="auto" w:after="40"/>
            </w:pPr>
            <w:r>
              <w:rPr>
                <w:rFonts w:ascii="Times New Roman" w:hAnsi="Times New Roman"/>
                <w:sz w:val="20"/>
              </w:rPr>
              <w:t>data/sample/*</w:t>
            </w:r>
          </w:p>
        </w:tc>
        <w:tc>
          <w:tcPr>
            <w:tcW w:type="dxa" w:w="5083"/>
            <w:vAlign w:val="center"/>
          </w:tcPr>
          <w:p>
            <w:pPr>
              <w:spacing w:line="276" w:lineRule="auto" w:after="40"/>
            </w:pPr>
            <w:r>
              <w:rPr>
                <w:rFonts w:ascii="Times New Roman" w:hAnsi="Times New Roman"/>
                <w:sz w:val="20"/>
              </w:rPr>
              <w:t>Sample course notes and Python source</w:t>
            </w:r>
          </w:p>
        </w:tc>
      </w:tr>
      <w:tr>
        <w:tc>
          <w:tcPr>
            <w:tcW w:type="dxa" w:w="5083"/>
            <w:vAlign w:val="center"/>
          </w:tcPr>
          <w:p>
            <w:pPr>
              <w:spacing w:line="276" w:lineRule="auto" w:after="40"/>
            </w:pPr>
            <w:r>
              <w:rPr>
                <w:rFonts w:ascii="Times New Roman" w:hAnsi="Times New Roman"/>
                <w:sz w:val="20"/>
              </w:rPr>
              <w:t>tests/*</w:t>
            </w:r>
          </w:p>
        </w:tc>
        <w:tc>
          <w:tcPr>
            <w:tcW w:type="dxa" w:w="5083"/>
            <w:vAlign w:val="center"/>
          </w:tcPr>
          <w:p>
            <w:pPr>
              <w:spacing w:line="276" w:lineRule="auto" w:after="40"/>
            </w:pPr>
            <w:r>
              <w:rPr>
                <w:rFonts w:ascii="Times New Roman" w:hAnsi="Times New Roman"/>
                <w:sz w:val="20"/>
              </w:rPr>
              <w:t>Automated test modules</w:t>
            </w:r>
          </w:p>
        </w:tc>
      </w:tr>
      <w:tr>
        <w:tc>
          <w:tcPr>
            <w:tcW w:type="dxa" w:w="5083"/>
            <w:vAlign w:val="center"/>
          </w:tcPr>
          <w:p>
            <w:pPr>
              <w:spacing w:line="276" w:lineRule="auto" w:after="40"/>
            </w:pPr>
            <w:r>
              <w:rPr>
                <w:rFonts w:ascii="Times New Roman" w:hAnsi="Times New Roman"/>
                <w:sz w:val="20"/>
              </w:rPr>
              <w:t>docs/*</w:t>
            </w:r>
          </w:p>
        </w:tc>
        <w:tc>
          <w:tcPr>
            <w:tcW w:type="dxa" w:w="5083"/>
            <w:vAlign w:val="center"/>
          </w:tcPr>
          <w:p>
            <w:pPr>
              <w:spacing w:line="276" w:lineRule="auto" w:after="40"/>
            </w:pPr>
            <w:r>
              <w:rPr>
                <w:rFonts w:ascii="Times New Roman" w:hAnsi="Times New Roman"/>
                <w:sz w:val="20"/>
              </w:rPr>
              <w:t>Existing project documentation</w:t>
            </w:r>
          </w:p>
        </w:tc>
      </w:tr>
    </w:tbl>
    <w:p>
      <w:pPr>
        <w:pStyle w:val="Heading1"/>
      </w:pPr>
      <w:r>
        <w:t>APPENDIX B — CONFIGURATION TEMPLATE</w:t>
      </w:r>
    </w:p>
    <w:p>
      <w:pPr>
        <w:spacing w:line="360" w:lineRule="auto" w:after="120"/>
      </w:pPr>
      <w:r>
        <w:t>The archive contains .env.example. The exact contents should be followed when setting up the environment. The following is a safe handling checklist:</w:t>
      </w:r>
    </w:p>
    <w:p>
      <w:pPr>
        <w:pStyle w:val="ListBullet"/>
        <w:spacing w:after="120" w:line="360" w:lineRule="auto"/>
      </w:pPr>
      <w:r>
        <w:t>Copy the example file to the expected local environment file only when required.</w:t>
      </w:r>
    </w:p>
    <w:p>
      <w:pPr>
        <w:pStyle w:val="ListBullet"/>
        <w:spacing w:after="120" w:line="360" w:lineRule="auto"/>
      </w:pPr>
      <w:r>
        <w:t>Replace placeholders with valid provider credentials in a private environment.</w:t>
      </w:r>
    </w:p>
    <w:p>
      <w:pPr>
        <w:pStyle w:val="ListBullet"/>
        <w:spacing w:after="120" w:line="360" w:lineRule="auto"/>
      </w:pPr>
      <w:r>
        <w:t>Do not commit populated secrets to Git.</w:t>
      </w:r>
    </w:p>
    <w:p>
      <w:pPr>
        <w:pStyle w:val="ListBullet"/>
        <w:spacing w:after="120" w:line="360" w:lineRule="auto"/>
      </w:pPr>
      <w:r>
        <w:t>Use Streamlit secrets or environment variables in hosted environments.</w:t>
      </w:r>
    </w:p>
    <w:p>
      <w:pPr>
        <w:pStyle w:val="ListBullet"/>
        <w:spacing w:after="120" w:line="360" w:lineRule="auto"/>
      </w:pPr>
      <w:r>
        <w:t>Rotate any credential that may have been exposed.</w:t>
      </w:r>
    </w:p>
    <w:p>
      <w:pPr>
        <w:pStyle w:val="Heading1"/>
      </w:pPr>
      <w:r>
        <w:t>APPENDIX C — SAMPLE COMMANDS</w:t>
      </w:r>
    </w:p>
    <w:p>
      <w:pPr>
        <w:spacing w:after="120" w:line="360" w:lineRule="auto"/>
        <w:ind w:left="259"/>
      </w:pPr>
      <w:r>
        <w:rPr>
          <w:rFonts w:ascii="Consolas" w:hAnsi="Consolas"/>
          <w:color w:val="373737"/>
          <w:sz w:val="15"/>
        </w:rPr>
        <w:t>python -m venv .venv</w:t>
      </w:r>
    </w:p>
    <w:p>
      <w:pPr>
        <w:spacing w:after="120" w:line="360" w:lineRule="auto"/>
        <w:ind w:left="259"/>
      </w:pPr>
      <w:r>
        <w:rPr>
          <w:rFonts w:ascii="Consolas" w:hAnsi="Consolas"/>
          <w:color w:val="373737"/>
          <w:sz w:val="15"/>
        </w:rPr>
        <w:t># Windows: .venv\Scripts\activate</w:t>
      </w:r>
    </w:p>
    <w:p>
      <w:pPr>
        <w:spacing w:after="120" w:line="360" w:lineRule="auto"/>
        <w:ind w:left="259"/>
      </w:pPr>
      <w:r>
        <w:rPr>
          <w:rFonts w:ascii="Consolas" w:hAnsi="Consolas"/>
          <w:color w:val="373737"/>
          <w:sz w:val="15"/>
        </w:rPr>
        <w:t># macOS/Linux: source .venv/bin/activate</w:t>
      </w:r>
    </w:p>
    <w:p>
      <w:pPr>
        <w:spacing w:after="120" w:line="360" w:lineRule="auto"/>
        <w:ind w:left="259"/>
      </w:pPr>
      <w:r>
        <w:rPr>
          <w:rFonts w:ascii="Consolas" w:hAnsi="Consolas"/>
          <w:color w:val="373737"/>
          <w:sz w:val="15"/>
        </w:rPr>
        <w:t>pip install -r requirements.txt</w:t>
      </w:r>
    </w:p>
    <w:p>
      <w:pPr>
        <w:spacing w:after="120" w:line="360" w:lineRule="auto"/>
        <w:ind w:left="259"/>
      </w:pPr>
      <w:r>
        <w:rPr>
          <w:rFonts w:ascii="Consolas" w:hAnsi="Consolas"/>
          <w:color w:val="373737"/>
          <w:sz w:val="15"/>
        </w:rPr>
        <w:t>pytest -q</w:t>
      </w:r>
    </w:p>
    <w:p>
      <w:pPr>
        <w:spacing w:after="120" w:line="360" w:lineRule="auto"/>
        <w:ind w:left="259"/>
      </w:pPr>
      <w:r>
        <w:rPr>
          <w:rFonts w:ascii="Consolas" w:hAnsi="Consolas"/>
          <w:color w:val="373737"/>
          <w:sz w:val="15"/>
        </w:rPr>
        <w:t>streamlit run app.py</w:t>
      </w:r>
    </w:p>
    <w:p>
      <w:pPr>
        <w:pStyle w:val="Heading1"/>
      </w:pPr>
      <w:r>
        <w:t>APPENDIX D — TEST EXECUTION RECORD</w:t>
      </w:r>
    </w:p>
    <w:p>
      <w:pPr>
        <w:spacing w:line="360" w:lineRule="auto" w:after="120"/>
      </w:pPr>
      <w:r>
        <w:t>Test execution status: Not run during preparation of this document. Execute pytest -q from the project root and record the date, Python version, dependency versions, number of tests collected, passed tests, failed tests, skipped tests, and any failure details here.</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tcPr>
          <w:p>
            <w:pPr>
              <w:spacing w:line="276" w:lineRule="auto" w:after="40"/>
            </w:pPr>
            <w:r>
              <w:rPr>
                <w:rFonts w:ascii="Times New Roman" w:hAnsi="Times New Roman"/>
                <w:sz w:val="20"/>
              </w:rPr>
              <w:t>Field</w:t>
            </w:r>
          </w:p>
        </w:tc>
        <w:tc>
          <w:tcPr>
            <w:tcW w:type="dxa" w:w="5083"/>
          </w:tcPr>
          <w:p>
            <w:pPr>
              <w:spacing w:line="276" w:lineRule="auto" w:after="40"/>
            </w:pPr>
            <w:r>
              <w:rPr>
                <w:rFonts w:ascii="Times New Roman" w:hAnsi="Times New Roman"/>
                <w:sz w:val="20"/>
              </w:rPr>
              <w:t>Record</w:t>
            </w:r>
          </w:p>
        </w:tc>
      </w:tr>
      <w:tr>
        <w:tc>
          <w:tcPr>
            <w:tcW w:type="dxa" w:w="5083"/>
            <w:vAlign w:val="center"/>
          </w:tcPr>
          <w:p>
            <w:pPr>
              <w:spacing w:line="276" w:lineRule="auto" w:after="40"/>
            </w:pPr>
            <w:r>
              <w:rPr>
                <w:rFonts w:ascii="Times New Roman" w:hAnsi="Times New Roman"/>
                <w:sz w:val="20"/>
              </w:rPr>
              <w:t>Execution date</w:t>
            </w:r>
          </w:p>
        </w:tc>
        <w:tc>
          <w:tcPr>
            <w:tcW w:type="dxa" w:w="5083"/>
            <w:vAlign w:val="center"/>
          </w:tcPr>
          <w:p>
            <w:pPr>
              <w:spacing w:line="276" w:lineRule="auto" w:after="40"/>
            </w:pPr>
            <w:r>
              <w:rPr>
                <w:rFonts w:ascii="Times New Roman" w:hAnsi="Times New Roman"/>
                <w:sz w:val="20"/>
              </w:rPr>
              <w:t>To be completed</w:t>
            </w:r>
          </w:p>
        </w:tc>
      </w:tr>
      <w:tr>
        <w:tc>
          <w:tcPr>
            <w:tcW w:type="dxa" w:w="5083"/>
            <w:vAlign w:val="center"/>
          </w:tcPr>
          <w:p>
            <w:pPr>
              <w:spacing w:line="276" w:lineRule="auto" w:after="40"/>
            </w:pPr>
            <w:r>
              <w:rPr>
                <w:rFonts w:ascii="Times New Roman" w:hAnsi="Times New Roman"/>
                <w:sz w:val="20"/>
              </w:rPr>
              <w:t>Python version</w:t>
            </w:r>
          </w:p>
        </w:tc>
        <w:tc>
          <w:tcPr>
            <w:tcW w:type="dxa" w:w="5083"/>
            <w:vAlign w:val="center"/>
          </w:tcPr>
          <w:p>
            <w:pPr>
              <w:spacing w:line="276" w:lineRule="auto" w:after="40"/>
            </w:pPr>
            <w:r>
              <w:rPr>
                <w:rFonts w:ascii="Times New Roman" w:hAnsi="Times New Roman"/>
                <w:sz w:val="20"/>
              </w:rPr>
              <w:t>To be completed</w:t>
            </w:r>
          </w:p>
        </w:tc>
      </w:tr>
      <w:tr>
        <w:tc>
          <w:tcPr>
            <w:tcW w:type="dxa" w:w="5083"/>
            <w:vAlign w:val="center"/>
          </w:tcPr>
          <w:p>
            <w:pPr>
              <w:spacing w:line="276" w:lineRule="auto" w:after="40"/>
            </w:pPr>
            <w:r>
              <w:rPr>
                <w:rFonts w:ascii="Times New Roman" w:hAnsi="Times New Roman"/>
                <w:sz w:val="20"/>
              </w:rPr>
              <w:t>pytest version</w:t>
            </w:r>
          </w:p>
        </w:tc>
        <w:tc>
          <w:tcPr>
            <w:tcW w:type="dxa" w:w="5083"/>
            <w:vAlign w:val="center"/>
          </w:tcPr>
          <w:p>
            <w:pPr>
              <w:spacing w:line="276" w:lineRule="auto" w:after="40"/>
            </w:pPr>
            <w:r>
              <w:rPr>
                <w:rFonts w:ascii="Times New Roman" w:hAnsi="Times New Roman"/>
                <w:sz w:val="20"/>
              </w:rPr>
              <w:t>To be completed</w:t>
            </w:r>
          </w:p>
        </w:tc>
      </w:tr>
      <w:tr>
        <w:tc>
          <w:tcPr>
            <w:tcW w:type="dxa" w:w="5083"/>
            <w:vAlign w:val="center"/>
          </w:tcPr>
          <w:p>
            <w:pPr>
              <w:spacing w:line="276" w:lineRule="auto" w:after="40"/>
            </w:pPr>
            <w:r>
              <w:rPr>
                <w:rFonts w:ascii="Times New Roman" w:hAnsi="Times New Roman"/>
                <w:sz w:val="20"/>
              </w:rPr>
              <w:t>Tests collected</w:t>
            </w:r>
          </w:p>
        </w:tc>
        <w:tc>
          <w:tcPr>
            <w:tcW w:type="dxa" w:w="5083"/>
            <w:vAlign w:val="center"/>
          </w:tcPr>
          <w:p>
            <w:pPr>
              <w:spacing w:line="276" w:lineRule="auto" w:after="40"/>
            </w:pPr>
            <w:r>
              <w:rPr>
                <w:rFonts w:ascii="Times New Roman" w:hAnsi="Times New Roman"/>
                <w:sz w:val="20"/>
              </w:rPr>
              <w:t>To be completed</w:t>
            </w:r>
          </w:p>
        </w:tc>
      </w:tr>
      <w:tr>
        <w:tc>
          <w:tcPr>
            <w:tcW w:type="dxa" w:w="5083"/>
            <w:vAlign w:val="center"/>
          </w:tcPr>
          <w:p>
            <w:pPr>
              <w:spacing w:line="276" w:lineRule="auto" w:after="40"/>
            </w:pPr>
            <w:r>
              <w:rPr>
                <w:rFonts w:ascii="Times New Roman" w:hAnsi="Times New Roman"/>
                <w:sz w:val="20"/>
              </w:rPr>
              <w:t>Passed / failed / skipped</w:t>
            </w:r>
          </w:p>
        </w:tc>
        <w:tc>
          <w:tcPr>
            <w:tcW w:type="dxa" w:w="5083"/>
            <w:vAlign w:val="center"/>
          </w:tcPr>
          <w:p>
            <w:pPr>
              <w:spacing w:line="276" w:lineRule="auto" w:after="40"/>
            </w:pPr>
            <w:r>
              <w:rPr>
                <w:rFonts w:ascii="Times New Roman" w:hAnsi="Times New Roman"/>
                <w:sz w:val="20"/>
              </w:rPr>
              <w:t>To be completed</w:t>
            </w:r>
          </w:p>
        </w:tc>
      </w:tr>
      <w:tr>
        <w:tc>
          <w:tcPr>
            <w:tcW w:type="dxa" w:w="5083"/>
            <w:vAlign w:val="center"/>
          </w:tcPr>
          <w:p>
            <w:pPr>
              <w:spacing w:line="276" w:lineRule="auto" w:after="40"/>
            </w:pPr>
            <w:r>
              <w:rPr>
                <w:rFonts w:ascii="Times New Roman" w:hAnsi="Times New Roman"/>
                <w:sz w:val="20"/>
              </w:rPr>
              <w:t>Reviewed by</w:t>
            </w:r>
          </w:p>
        </w:tc>
        <w:tc>
          <w:tcPr>
            <w:tcW w:type="dxa" w:w="5083"/>
            <w:vAlign w:val="center"/>
          </w:tcPr>
          <w:p>
            <w:pPr>
              <w:spacing w:line="276" w:lineRule="auto" w:after="40"/>
            </w:pPr>
            <w:r>
              <w:rPr>
                <w:rFonts w:ascii="Times New Roman" w:hAnsi="Times New Roman"/>
                <w:sz w:val="20"/>
              </w:rPr>
              <w:t>To be completed</w:t>
            </w:r>
          </w:p>
        </w:tc>
      </w:tr>
    </w:tbl>
    <w:p>
      <w:pPr>
        <w:pStyle w:val="Heading1"/>
      </w:pPr>
      <w:r>
        <w:t>APPENDIX E — DOCUMENT CONTROL</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c>
          <w:tcPr>
            <w:tcW w:type="dxa" w:w="2541"/>
          </w:tcPr>
          <w:p>
            <w:pPr>
              <w:spacing w:line="276" w:lineRule="auto" w:after="40"/>
            </w:pPr>
            <w:r>
              <w:rPr>
                <w:rFonts w:ascii="Times New Roman" w:hAnsi="Times New Roman"/>
                <w:sz w:val="20"/>
              </w:rPr>
              <w:t>Version</w:t>
            </w:r>
          </w:p>
        </w:tc>
        <w:tc>
          <w:tcPr>
            <w:tcW w:type="dxa" w:w="2541"/>
          </w:tcPr>
          <w:p>
            <w:pPr>
              <w:spacing w:line="276" w:lineRule="auto" w:after="40"/>
            </w:pPr>
            <w:r>
              <w:rPr>
                <w:rFonts w:ascii="Times New Roman" w:hAnsi="Times New Roman"/>
                <w:sz w:val="20"/>
              </w:rPr>
              <w:t>Date</w:t>
            </w:r>
          </w:p>
        </w:tc>
        <w:tc>
          <w:tcPr>
            <w:tcW w:type="dxa" w:w="2541"/>
          </w:tcPr>
          <w:p>
            <w:pPr>
              <w:spacing w:line="276" w:lineRule="auto" w:after="40"/>
            </w:pPr>
            <w:r>
              <w:rPr>
                <w:rFonts w:ascii="Times New Roman" w:hAnsi="Times New Roman"/>
                <w:sz w:val="20"/>
              </w:rPr>
              <w:t>Description</w:t>
            </w:r>
          </w:p>
        </w:tc>
        <w:tc>
          <w:tcPr>
            <w:tcW w:type="dxa" w:w="2541"/>
          </w:tcPr>
          <w:p>
            <w:pPr>
              <w:spacing w:line="276" w:lineRule="auto" w:after="40"/>
            </w:pPr>
            <w:r>
              <w:rPr>
                <w:rFonts w:ascii="Times New Roman" w:hAnsi="Times New Roman"/>
                <w:sz w:val="20"/>
              </w:rPr>
              <w:t>Prepared by</w:t>
            </w:r>
          </w:p>
        </w:tc>
      </w:tr>
      <w:tr>
        <w:tc>
          <w:tcPr>
            <w:tcW w:type="dxa" w:w="2541"/>
            <w:vAlign w:val="center"/>
          </w:tcPr>
          <w:p>
            <w:pPr>
              <w:spacing w:line="276" w:lineRule="auto" w:after="40"/>
            </w:pPr>
            <w:r>
              <w:rPr>
                <w:rFonts w:ascii="Times New Roman" w:hAnsi="Times New Roman"/>
                <w:sz w:val="20"/>
              </w:rPr>
              <w:t>1.0</w:t>
            </w:r>
          </w:p>
        </w:tc>
        <w:tc>
          <w:tcPr>
            <w:tcW w:type="dxa" w:w="2541"/>
            <w:vAlign w:val="center"/>
          </w:tcPr>
          <w:p>
            <w:pPr>
              <w:spacing w:line="276" w:lineRule="auto" w:after="40"/>
            </w:pPr>
            <w:r>
              <w:rPr>
                <w:rFonts w:ascii="Times New Roman" w:hAnsi="Times New Roman"/>
                <w:sz w:val="20"/>
              </w:rPr>
              <w:t>30-Oct-2026</w:t>
            </w:r>
          </w:p>
        </w:tc>
        <w:tc>
          <w:tcPr>
            <w:tcW w:type="dxa" w:w="2541"/>
            <w:vAlign w:val="center"/>
          </w:tcPr>
          <w:p>
            <w:pPr>
              <w:spacing w:line="276" w:lineRule="auto" w:after="40"/>
            </w:pPr>
            <w:r>
              <w:rPr>
                <w:rFonts w:ascii="Times New Roman" w:hAnsi="Times New Roman"/>
                <w:sz w:val="20"/>
              </w:rPr>
              <w:t>Expanded documentation based on supplied ZIP archive</w:t>
            </w:r>
          </w:p>
        </w:tc>
        <w:tc>
          <w:tcPr>
            <w:tcW w:type="dxa" w:w="2541"/>
            <w:vAlign w:val="center"/>
          </w:tcPr>
          <w:p>
            <w:pPr>
              <w:spacing w:line="276" w:lineRule="auto" w:after="40"/>
            </w:pPr>
            <w:r>
              <w:rPr>
                <w:rFonts w:ascii="Times New Roman" w:hAnsi="Times New Roman"/>
                <w:sz w:val="20"/>
              </w:rPr>
              <w:t>Project documentation draft</w:t>
            </w:r>
          </w:p>
        </w:tc>
      </w:tr>
    </w:tbl>
    <w:p>
      <w:pPr>
        <w:spacing w:line="360" w:lineRule="auto" w:after="120"/>
      </w:pPr>
      <w:r>
        <w:t>End of document.</w:t>
      </w:r>
    </w:p>
    <w:p>
      <w:pPr>
        <w:spacing w:line="360" w:lineRule="auto" w:after="120"/>
      </w:pPr>
      <w:r/>
    </w:p>
    <w:p>
      <w:pPr>
        <w:pStyle w:val="Title"/>
      </w:pPr>
      <w:r>
        <w:t>SUPPLEMENTARY PROJECT DOCUMENTATION</w:t>
      </w:r>
    </w:p>
    <w:p>
      <w:pPr>
        <w:spacing w:line="360" w:lineRule="auto" w:after="120"/>
        <w:jc w:val="center"/>
      </w:pPr>
      <w:r>
        <w:rPr>
          <w:b/>
          <w:color w:val="1F4E79"/>
          <w:sz w:val="40"/>
        </w:rPr>
        <w:t>SMART FAQ CHATBOT — INTENT CLASSIFICATION</w:t>
      </w:r>
    </w:p>
    <w:p>
      <w:pPr>
        <w:spacing w:line="360" w:lineRule="auto" w:after="120"/>
        <w:jc w:val="center"/>
      </w:pPr>
      <w:r>
        <w:rPr>
          <w:i/>
        </w:rPr>
        <w:t>Additional documentation based on the separately uploaded README.md</w:t>
      </w:r>
    </w:p>
    <w:p>
      <w:pPr>
        <w:spacing w:line="360" w:lineRule="auto" w:after="120"/>
      </w:pPr>
      <w:r>
        <w:t>Important project-boundary note: The original ZIP archive documents DoubtBuster. The separately uploaded README.md describes a Smart FAQ Chatbot based on intent classification. The README does not establish that this chatbot is already integrated into DoubtBuster. This supplementary section documents the README as a separate project or proposed companion module. Integration must be confirmed from source code before it is described as an implemented DoubtBuster feature.</w:t>
      </w:r>
    </w:p>
    <w:p>
      <w:pPr>
        <w:spacing w:line="360" w:lineRule="auto" w:after="120"/>
      </w:pPr>
      <w:r/>
    </w:p>
    <w:p>
      <w:pPr>
        <w:spacing w:line="360" w:lineRule="auto" w:after="120"/>
      </w:pPr>
      <w:r/>
    </w:p>
    <w:p>
      <w:pPr>
        <w:pStyle w:val="Heading1"/>
      </w:pPr>
      <w:r>
        <w:t>52. Smart FAQ Chatbot — Project Overview</w:t>
      </w:r>
    </w:p>
    <w:p>
      <w:pPr>
        <w:spacing w:line="360" w:lineRule="auto" w:after="120"/>
      </w:pPr>
      <w:r>
        <w:t>The separately supplied README identifies a project named Smart FAQ Chatbot — Intent Classification. Its purpose is to classify a user's FAQ message into one of a set of known intent labels and provide a corresponding predefined response through a Streamlit chat interface.</w:t>
      </w:r>
    </w:p>
    <w:p>
      <w:pPr>
        <w:spacing w:line="360" w:lineRule="auto" w:after="120"/>
      </w:pPr>
      <w:r>
        <w:t>The documented design uses a custom labelled FAQ intent dataset, a TF-IDF text representation with unigram and bigram features, and a comparison between Multinomial Naive Bayes and Logistic Regression. The project evaluates classification performance using accuracy, macro precision, macro recall, macro F1-score, a classification report, and a confusion matrix. It saves a scikit-learn pipeline for later use by the application.</w:t>
      </w:r>
    </w:p>
    <w:p>
      <w:pPr>
        <w:spacing w:line="360" w:lineRule="auto" w:after="120"/>
      </w:pPr>
      <w:r>
        <w:t>This is a bounded FAQ classification system. It is not described as an unrestricted generative chatbot. It can route different phrasings to known FAQ categories, but it cannot reliably answer arbitrary questions that do not fit the configured intents.</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53. Problem Statement and Motivation</w:t>
      </w:r>
    </w:p>
    <w:p>
      <w:pPr>
        <w:spacing w:line="360" w:lineRule="auto" w:after="120"/>
      </w:pPr>
      <w:r>
        <w:t>Frequently asked questions in an institution or organization often repeat. Users may ask the same question with different wording, spelling, or sentence structure. A static keyword search can fail when a user expresses a known question in a different way. An intent classifier attempts to map varied text expressions to a known category.</w:t>
      </w:r>
    </w:p>
    <w:p>
      <w:pPr>
        <w:spacing w:line="360" w:lineRule="auto" w:after="120"/>
      </w:pPr>
      <w:r>
        <w:t>The README's approach uses labelled examples to learn associations between text patterns and FAQ intent labels. When a message arrives, the trained pipeline can estimate the most suitable known intent. The Streamlit application can then select a predefined response associated with that intent.</w:t>
      </w:r>
    </w:p>
    <w:p>
      <w:pPr>
        <w:spacing w:line="360" w:lineRule="auto" w:after="120"/>
      </w:pPr>
      <w:r>
        <w:t>The project is suitable for a controlled FAQ domain where questions and approved answers can be maintained. It is not a general knowledge engine. Questions outside the dataset's intent coverage require a fallback rather than an invented answer.</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54. Objectives and Scope</w:t>
      </w:r>
    </w:p>
    <w:p>
      <w:pPr>
        <w:spacing w:line="360" w:lineRule="auto" w:after="120"/>
      </w:pPr>
      <w:r>
        <w:t>The documented objectives are to prepare a custom labelled FAQ dataset, convert FAQ text into TF-IDF unigram and bigram features, compare two supervised classification algorithms, evaluate their performance using multiple classification metrics, save the selected scikit-learn pipeline, and provide a Streamlit chat interface with input validation and fallback behavior.</w:t>
      </w:r>
    </w:p>
    <w:p>
      <w:pPr>
        <w:spacing w:line="360" w:lineRule="auto" w:after="120"/>
      </w:pPr>
      <w:r>
        <w:t>The scope depends on the intent categories represented in the dataset. Adding a new FAQ category requires adding labelled examples and ensuring the response mapping contains a corresponding response. The README specifically advises keeping response keys aligned with dataset intent labels.</w:t>
      </w:r>
    </w:p>
    <w:p>
      <w:pPr>
        <w:spacing w:line="360" w:lineRule="auto" w:after="120"/>
      </w:pPr>
      <w:r>
        <w:t>The README does not specify the exact number of intent categories, dataset rows, training/test split, model hyperparameters, final winning model, or measured evaluation scores. These details must be taken from the actual dataset, training script, model metadata, and evaluation output rather than guessed.</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55. Dataset and Intent Labels</w:t>
      </w:r>
    </w:p>
    <w:p>
      <w:pPr>
        <w:spacing w:line="360" w:lineRule="auto" w:after="120"/>
      </w:pPr>
      <w:r>
        <w:t>The README identifies data/faq_intents.csv as the custom labelled FAQ intent dataset. A labelled dataset typically contains user utterances and the intent category each utterance represents. The exact column names and schema are not stated in the README and should be confirmed by inspecting the CSV file.</w:t>
      </w:r>
    </w:p>
    <w:p>
      <w:pPr>
        <w:spacing w:line="360" w:lineRule="auto" w:after="120"/>
      </w:pPr>
      <w:r>
        <w:t>Dataset quality is central to classification quality. Each intent should have varied examples that reflect how real users may phrase a question. Similar intents should be represented carefully so the classifier can learn their distinctions. Examples should not all use nearly identical wording.</w:t>
      </w:r>
    </w:p>
    <w:p>
      <w:pPr>
        <w:spacing w:line="360" w:lineRule="auto" w:after="120"/>
      </w:pPr>
      <w:r>
        <w:t>The README recommends adding varied examples for every intent. It also recommends expanding the sample dataset before reporting academic results because the supplied sample dataset is for demonstration. Training and evaluation should use representative examples and should avoid leakage between training and test data.</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56. Text Preprocessing and TF-IDF Representation</w:t>
      </w:r>
    </w:p>
    <w:p>
      <w:pPr>
        <w:spacing w:line="360" w:lineRule="auto" w:after="120"/>
      </w:pPr>
      <w:r>
        <w:t>The README specifies a TF-IDF representation using unigram and bigram features. A unigram is a single token or word feature. A bigram is a sequence of two adjacent tokens. Using both can help represent individual terms and short phrases.</w:t>
      </w:r>
    </w:p>
    <w:p>
      <w:pPr>
        <w:spacing w:line="360" w:lineRule="auto" w:after="120"/>
      </w:pPr>
      <w:r>
        <w:t>TF-IDF stands for Term Frequency–Inverse Document Frequency. It gives a numerical weight to terms based on their occurrence in a document and their distribution across the document collection. Terms that help distinguish one utterance from others can receive more useful weights than terms appearing everywhere.</w:t>
      </w:r>
    </w:p>
    <w:p>
      <w:pPr>
        <w:spacing w:line="360" w:lineRule="auto" w:after="120"/>
      </w:pPr>
      <w:r>
        <w:t>The README does not provide the exact tokenization, lowercasing, stop-word, n-gram range configuration beyond unigram plus bigram, or normalization settings. Those implementation details should be confirmed from train_model.py. Do not claim a particular preprocessing operation unless the source code supports it.</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57. Classification Algorithm — Multinomial Naive Bayes</w:t>
      </w:r>
    </w:p>
    <w:p>
      <w:pPr>
        <w:spacing w:line="360" w:lineRule="auto" w:after="120"/>
      </w:pPr>
      <w:r>
        <w:t>Multinomial Naive Bayes is one of the two classifiers named in the README. It is a probabilistic classification method commonly used with text features. It estimates how likely a feature pattern is under each class and uses those estimates to select a class.</w:t>
      </w:r>
    </w:p>
    <w:p>
      <w:pPr>
        <w:spacing w:line="360" w:lineRule="auto" w:after="120"/>
      </w:pPr>
      <w:r>
        <w:t>For FAQ intent classification, the classes correspond to the intent labels in the training dataset. The text vectorizer converts a user utterance into numerical features, and the classifier uses learned class and feature statistics to predict an intent.</w:t>
      </w:r>
    </w:p>
    <w:p>
      <w:pPr>
        <w:spacing w:line="360" w:lineRule="auto" w:after="120"/>
      </w:pPr>
      <w:r>
        <w:t>The README states that this algorithm is compared with Logistic Regression. It does not report which model performs better. The final model choice should be based on validation results and the project’s intended error trade-offs, not on an assumed preference for one algorithm.</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58. Classification Algorithm — Logistic Regression</w:t>
      </w:r>
    </w:p>
    <w:p>
      <w:pPr>
        <w:spacing w:line="360" w:lineRule="auto" w:after="120"/>
      </w:pPr>
      <w:r>
        <w:t>Logistic Regression is the second classifier identified in the README. Despite the word regression in its name, it is widely used for classification. In a multiclass setting, it can estimate scores or probabilities for each intent category and select a predicted class.</w:t>
      </w:r>
    </w:p>
    <w:p>
      <w:pPr>
        <w:spacing w:line="360" w:lineRule="auto" w:after="120"/>
      </w:pPr>
      <w:r>
        <w:t>The model learns a relationship between the input feature vector and the target intent labels. With TF-IDF features, it can use weighted word and phrase signals to distinguish FAQ categories.</w:t>
      </w:r>
    </w:p>
    <w:p>
      <w:pPr>
        <w:spacing w:line="360" w:lineRule="auto" w:after="120"/>
      </w:pPr>
      <w:r>
        <w:t>The README asks for a comparison between Logistic Regression and Multinomial Naive Bayes. A fair comparison requires using the same data split and evaluation procedure. Hyperparameter selection should use training or validation data and must not be tuned against the final test set.</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59. Model Training Workflow</w:t>
      </w:r>
    </w:p>
    <w:p>
      <w:pPr>
        <w:spacing w:line="360" w:lineRule="auto" w:after="120"/>
      </w:pPr>
      <w:r>
        <w:t>The README identifies train_model.py as the training and evaluation entry point. The documented local workflow is to install dependencies and execute `python train_model.py`. The script is expected to train and evaluate the candidate models and save a scikit-learn pipeline.</w:t>
      </w:r>
    </w:p>
    <w:p>
      <w:pPr>
        <w:spacing w:line="360" w:lineRule="auto" w:after="120"/>
      </w:pPr>
      <w:r>
        <w:t>A reproducible training workflow should load the labelled dataset, separate input text from intent labels, divide the data into training and evaluation portions, fit the vectorizer and classifier, calculate metrics, compare candidate models, and persist the selected pipeline. The exact sequence and implementation must be confirmed in train_model.py, which was not included in the separately uploaded README.</w:t>
      </w:r>
    </w:p>
    <w:p>
      <w:pPr>
        <w:spacing w:line="360" w:lineRule="auto" w:after="120"/>
      </w:pPr>
      <w:r>
        <w:t>Training should be repeated whenever the dataset or intent definitions change. The saved model should be regenerated and evaluated after such changes. Keep a record of dataset version, training configuration, evaluation metrics, and model artifact version.</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60. Model Evaluation Metrics</w:t>
      </w:r>
    </w:p>
    <w:p>
      <w:pPr>
        <w:spacing w:line="360" w:lineRule="auto" w:after="120"/>
      </w:pPr>
      <w:r>
        <w:t>The README lists accuracy, macro precision, macro recall, macro F1-score, a classification report, and a confusion matrix. Accuracy is the fraction of all evaluated examples classified correctly. Precision measures how many predictions assigned to a class were correct. Recall measures how many actual examples of a class were found by the model. F1-score combines precision and recall using their harmonic mean.</w:t>
      </w:r>
    </w:p>
    <w:p>
      <w:pPr>
        <w:spacing w:line="360" w:lineRule="auto" w:after="120"/>
      </w:pPr>
      <w:r>
        <w:t>Macro averaging calculates each class metric separately and then averages the class values equally. This can be useful when intents have different numbers of examples because each class contributes equally to the macro score. It is important to report per-class results as well as an overall score.</w:t>
      </w:r>
    </w:p>
    <w:p>
      <w:pPr>
        <w:spacing w:line="360" w:lineRule="auto" w:after="120"/>
      </w:pPr>
      <w:r>
        <w:t>A confusion matrix compares actual labels with predicted labels. It helps identify which FAQ categories are being confused with one another. The README does not include actual metric values, so no numerical performance claim is made in this document.</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61. Saved Scikit-learn Pipeline</w:t>
      </w:r>
    </w:p>
    <w:p>
      <w:pPr>
        <w:spacing w:line="360" w:lineRule="auto" w:after="120"/>
      </w:pPr>
      <w:r>
        <w:t>The README states that the project saves a scikit-learn pipeline. A pipeline packages preprocessing or feature transformation steps together with a predictive estimator so that the same transformations can be applied during inference.</w:t>
      </w:r>
    </w:p>
    <w:p>
      <w:pPr>
        <w:spacing w:line="360" w:lineRule="auto" w:after="120"/>
      </w:pPr>
      <w:r>
        <w:t>The deployment instructions name models/intent_pipeline.joblib as the model binary and models/metadata.json as associated metadata. The README says these artifacts are generated by training. They may be committed to the repository after local training or generated during a deployment build step.</w:t>
      </w:r>
    </w:p>
    <w:p>
      <w:pPr>
        <w:spacing w:line="360" w:lineRule="auto" w:after="120"/>
      </w:pPr>
      <w:r>
        <w:t>The model file should be loaded using compatible library versions. Since joblib serialization is intended for trusted artifacts, do not load model files from unknown or untrusted sources. Metadata should identify useful details such as the selected model, label mapping, training information, and evaluation results if those fields are implemented.</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62. Streamlit Chat Interface</w:t>
      </w:r>
    </w:p>
    <w:p>
      <w:pPr>
        <w:spacing w:line="360" w:lineRule="auto" w:after="120"/>
      </w:pPr>
      <w:r>
        <w:t>The README describes a Streamlit chat interface. The interface accepts a user message, validates input, uses the trained classification pipeline to identify an FAQ intent, and selects a predefined response. A fallback is included for cases where the input does not confidently match a known category or cannot be handled.</w:t>
      </w:r>
    </w:p>
    <w:p>
      <w:pPr>
        <w:spacing w:line="360" w:lineRule="auto" w:after="120"/>
      </w:pPr>
      <w:r>
        <w:t>The README does not provide a screenshot or describe the exact widget layout, chat history behavior, session-state implementation, or message styling. These details should be documented from app.py after source code is available.</w:t>
      </w:r>
    </w:p>
    <w:p>
      <w:pPr>
        <w:spacing w:line="360" w:lineRule="auto" w:after="120"/>
      </w:pPr>
      <w:r>
        <w:t>The interface should make it clear that responses come from a configured FAQ set. Users should be given a way to rephrase a question or contact the relevant office when the chatbot cannot identify a suitable category.</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63. Input Validation and Fallback</w:t>
      </w:r>
    </w:p>
    <w:p>
      <w:pPr>
        <w:spacing w:line="360" w:lineRule="auto" w:after="120"/>
      </w:pPr>
      <w:r>
        <w:t>Input validation is explicitly listed as a feature. At minimum, a chat interface should handle empty messages and whitespace-only messages without attempting classification. Other useful checks may include message length and unsupported input types, but the README does not state the exact implemented rules.</w:t>
      </w:r>
    </w:p>
    <w:p>
      <w:pPr>
        <w:spacing w:line="360" w:lineRule="auto" w:after="120"/>
      </w:pPr>
      <w:r>
        <w:t>Fallback behavior is important because a classifier always operates within the labels it has learned. A prediction can be uncertain, or a user can ask something unrelated to the FAQ dataset. The system should avoid returning an unrelated predefined response as though it were correct.</w:t>
      </w:r>
    </w:p>
    <w:p>
      <w:pPr>
        <w:spacing w:line="360" w:lineRule="auto" w:after="120"/>
      </w:pPr>
      <w:r>
        <w:t>The README does not state the confidence threshold or fallback wording. It advises that confidence threshold tuning should use validation data, not the test set. The threshold should be selected based on the cost of incorrect routing versus the cost of asking a user to rephrase or contact support.</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64. Response Mapping and FAQ Maintenance</w:t>
      </w:r>
    </w:p>
    <w:p>
      <w:pPr>
        <w:spacing w:line="360" w:lineRule="auto" w:after="120"/>
      </w:pPr>
      <w:r>
        <w:t>The README identifies a RESPONSES mapping in app.py. This mapping associates intent labels with verified institutional information. The response keys must remain aligned with the intent labels used by the dataset.</w:t>
      </w:r>
    </w:p>
    <w:p>
      <w:pPr>
        <w:spacing w:line="360" w:lineRule="auto" w:after="120"/>
      </w:pPr>
      <w:r>
        <w:t>Institutional responses should be reviewed by an authorized content owner. Information such as office hours, fees, deadlines, contact details, and policies can change. A technically correct intent prediction can still produce a harmful or misleading result if the predefined response is outdated.</w:t>
      </w:r>
    </w:p>
    <w:p>
      <w:pPr>
        <w:spacing w:line="360" w:lineRule="auto" w:after="120"/>
      </w:pPr>
      <w:r>
        <w:t>A maintenance process should record the owner and review date for each response. When an intent is renamed or removed, update both the dataset and response mapping. Add examples for new categories and retrain the pipeline. The README specifically recommends verified institutional information in RESPONSES.</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65. Dependency Installation and Local Setup</w:t>
      </w:r>
    </w:p>
    <w:p>
      <w:pPr>
        <w:spacing w:line="360" w:lineRule="auto" w:after="120"/>
      </w:pPr>
      <w:r>
        <w:t>The README requires Python 3.10 or later. It recommends opening a terminal in the project folder, creating and activating a virtual environment, and installing packages from requirements.txt. A virtual environment isolates project dependencies from other Python projects.</w:t>
      </w:r>
    </w:p>
    <w:p>
      <w:pPr>
        <w:spacing w:line="360" w:lineRule="auto" w:after="120"/>
      </w:pPr>
      <w:r>
        <w:t>The documented installation command is `pip install -r requirements.txt`. The exact package versions are not specified in the README itself. They should be read from requirements.txt. A reproducible setup should record the Python version and dependency versions used for training and deployment.</w:t>
      </w:r>
    </w:p>
    <w:p>
      <w:pPr>
        <w:spacing w:line="360" w:lineRule="auto" w:after="120"/>
      </w:pPr>
      <w:r>
        <w:t>After installation, run `python train_model.py` to train and evaluate the model. The generated model artifacts should be available before launching the application unless the application itself performs a training or build step. The README's simplest deployment path assumes that training is completed locally and the generated artifacts are committed.</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66. Running the Chatbot Locally</w:t>
      </w:r>
    </w:p>
    <w:p>
      <w:pPr>
        <w:spacing w:line="360" w:lineRule="auto" w:after="120"/>
      </w:pPr>
      <w:r>
        <w:t>The documented local run sequence has two main commands after dependencies are installed. First run `python train_model.py` to train and evaluate the intent model. Then run `streamlit run app.py` to launch the Streamlit chat interface.</w:t>
      </w:r>
    </w:p>
    <w:p>
      <w:pPr>
        <w:spacing w:line="360" w:lineRule="auto" w:after="120"/>
      </w:pPr>
      <w:r>
        <w:t>The application should be launched from the project directory so relative paths to data, model artifacts, and metadata resolve as expected. If the application reports that the model file is missing, verify that training completed successfully and that the expected models directory and artifact exist.</w:t>
      </w:r>
    </w:p>
    <w:p>
      <w:pPr>
        <w:spacing w:line="360" w:lineRule="auto" w:after="120"/>
      </w:pPr>
      <w:r>
        <w:t>The README does not specify the exact Streamlit port, deployment URL, or runtime configuration. These should be taken from the actual application and deployment environment.</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67. Streamlit Community Cloud Deployment</w:t>
      </w:r>
    </w:p>
    <w:p>
      <w:pPr>
        <w:spacing w:line="360" w:lineRule="auto" w:after="120"/>
      </w:pPr>
      <w:r>
        <w:t>The README provides a deployment outline for Streamlit Community Cloud. It instructs the developer to push the project folder to a GitHub repository and ensure that data/faq_intents.csv, train_model.py, app.py, and requirements.txt are committed.</w:t>
      </w:r>
    </w:p>
    <w:p>
      <w:pPr>
        <w:spacing w:line="360" w:lineRule="auto" w:after="120"/>
      </w:pPr>
      <w:r>
        <w:t>The trained model binary is generated by train_model.py. The README describes two options: commit models/intent_pipeline.joblib after local training, or configure a build/deployment step to train it. For the simplest deployment, it recommends training locally and committing both models/intent_pipeline.joblib and models/metadata.json, then selecting app.py as the application entry point.</w:t>
      </w:r>
    </w:p>
    <w:p>
      <w:pPr>
        <w:spacing w:line="360" w:lineRule="auto" w:after="120"/>
      </w:pPr>
      <w:r>
        <w:t>Before deployment, verify repository privacy, artifact availability, dependency compatibility, and the current hosting platform requirements. Never commit credentials or private institutional information to a public repository.</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68. Customization and Extension</w:t>
      </w:r>
    </w:p>
    <w:p>
      <w:pPr>
        <w:spacing w:line="360" w:lineRule="auto" w:after="120"/>
      </w:pPr>
      <w:r>
        <w:t>The README recommends adding varied examples to data/faq_intents.csv for every intent. It also recommends updating RESPONSES in app.py with verified institutional information and keeping response keys aligned with dataset intent labels.</w:t>
      </w:r>
    </w:p>
    <w:p>
      <w:pPr>
        <w:spacing w:line="360" w:lineRule="auto" w:after="120"/>
      </w:pPr>
      <w:r>
        <w:t>A new intent should be introduced as a coordinated change: define the intent label, add representative utterances, create an approved response, retrain the model, evaluate the result, and test the interface. Removing or renaming an intent requires the same coordinated review.</w:t>
      </w:r>
    </w:p>
    <w:p>
      <w:pPr>
        <w:spacing w:line="360" w:lineRule="auto" w:after="120"/>
      </w:pPr>
      <w:r>
        <w:t>The README advises tuning the confidence threshold using validation data rather than the test set. This is an important evaluation practice because the test set should remain an unbiased estimate of final model performance.</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69. Limitations and Responsible Interpretation</w:t>
      </w:r>
    </w:p>
    <w:p>
      <w:pPr>
        <w:spacing w:line="360" w:lineRule="auto" w:after="120"/>
      </w:pPr>
      <w:r>
        <w:t>The README contains an explicit limitation: this is an intent classifier with predefined responses, not an unrestricted generative chatbot. It can route different phrasings to known FAQ categories but cannot reliably answer arbitrary questions that do not fit the configured intents.</w:t>
      </w:r>
    </w:p>
    <w:p>
      <w:pPr>
        <w:spacing w:line="360" w:lineRule="auto" w:after="120"/>
      </w:pPr>
      <w:r>
        <w:t>The sample dataset is for demonstration and should be expanded before reporting academic results. No performance numbers are included in the README. Therefore, the project report must not invent accuracy, precision, recall, or F1 values.</w:t>
      </w:r>
    </w:p>
    <w:p>
      <w:pPr>
        <w:spacing w:line="360" w:lineRule="auto" w:after="120"/>
      </w:pPr>
      <w:r>
        <w:t>A fallback should be used for unsupported or uncertain messages. Institutional responses should be verified and kept current. Users should be informed when a question is outside the chatbot's configured scope.</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70. Suggested Test Plan for Smart FAQ Chatbot</w:t>
      </w:r>
    </w:p>
    <w:p>
      <w:pPr>
        <w:spacing w:line="360" w:lineRule="auto" w:after="120"/>
      </w:pPr>
      <w:r>
        <w:t>A test plan for the documented behavior should cover dataset loading, label consistency, text vectorization, model training, evaluation metrics, artifact persistence, model loading, intent prediction, response mapping, input validation, and fallback behavior. Tests should include known examples, alternate phrasings, ambiguous questions, empty input, and questions unrelated to all configured FAQ categories.</w:t>
      </w:r>
    </w:p>
    <w:p>
      <w:pPr>
        <w:spacing w:line="360" w:lineRule="auto" w:after="120"/>
      </w:pPr>
      <w:r>
        <w:t>Model evaluation should use a held-out test set that is not used for threshold tuning. Validation data can be used to select the confidence threshold and model configuration. The confusion matrix should be inspected for intents that are frequently confused.</w:t>
      </w:r>
    </w:p>
    <w:p>
      <w:pPr>
        <w:spacing w:line="360" w:lineRule="auto" w:after="120"/>
      </w:pPr>
      <w:r>
        <w:t>The README does not include test files or test results. This section is a recommended test plan, not evidence that the tests have already been implemented or passed.</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71. Smart FAQ Chatbot File and Artifact Inventory</w:t>
      </w:r>
    </w:p>
    <w:p>
      <w:pPr>
        <w:spacing w:line="360" w:lineRule="auto" w:after="120"/>
      </w:pPr>
      <w:r>
        <w:t>The README names the following project paths: data/faq_intents.csv for labelled intent examples; train_model.py for model training and evaluation; app.py for the Streamlit interface and response mapping; requirements.txt for dependencies; models/intent_pipeline.joblib for the saved pipeline; and models/metadata.json for metadata.</w:t>
      </w:r>
    </w:p>
    <w:p>
      <w:pPr>
        <w:spacing w:line="360" w:lineRule="auto" w:after="120"/>
      </w:pPr>
      <w:r>
        <w:t>The README instructs that the data file, training script, app entry point, and requirements file be committed to GitHub for deployment. It also describes committing the trained model and metadata for the simplest deployment route. The README does not expose the internal source code or exact schema of these files.</w:t>
      </w:r>
    </w:p>
    <w:p>
      <w:pPr>
        <w:spacing w:line="360" w:lineRule="auto" w:after="120"/>
      </w:pPr>
      <w:r>
        <w:t>This file inventory should be updated after inspecting the full chatbot repository. Until then, descriptions should remain limited to the roles stated in README.md.</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72. Relationship to the DoubtBuster Project</w:t>
      </w:r>
    </w:p>
    <w:p>
      <w:pPr>
        <w:spacing w:line="360" w:lineRule="auto" w:after="120"/>
      </w:pPr>
      <w:r>
        <w:t>The original app.zip archive contains the DoubtBuster project, including a Streamlit application, a backend pipeline, services for language-model access, offline tutoring, mathematics, code execution, document processing, retrieval, SQLite persistence, and multiple pages. The separately uploaded README.md describes Smart FAQ Chatbot — Intent Classification.</w:t>
      </w:r>
    </w:p>
    <w:p>
      <w:pPr>
        <w:spacing w:line="360" w:lineRule="auto" w:after="120"/>
      </w:pPr>
      <w:r>
        <w:t>Both descriptions mention Streamlit and machine-learning or AI-supported user interaction, but this similarity does not prove that they are one application. The README does not mention the DoubtBuster name, its backend folders, or its database modules. The original ZIP inventory does not establish the presence of the Smart FAQ Chatbot's train_model.py, data/faq_intents.csv, or saved intent pipeline artifacts.</w:t>
      </w:r>
    </w:p>
    <w:p>
      <w:pPr>
        <w:spacing w:line="360" w:lineRule="auto" w:after="120"/>
      </w:pPr>
      <w:r>
        <w:t>For this reason, this document preserves the two project descriptions as separate sections. If the developer later confirms that the FAQ classifier is intended to be integrated into DoubtBuster, the architecture, dependencies, data flow, and user interface should be updated based on the actual integration code.</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73. Summary of README-Derived Facts and Open Questions</w:t>
      </w:r>
    </w:p>
    <w:p>
      <w:pPr>
        <w:spacing w:line="360" w:lineRule="auto" w:after="120"/>
      </w:pPr>
      <w:r>
        <w:t>Facts directly stated by the README: the project is a Smart FAQ Chatbot using intent classification; it uses a custom labelled FAQ dataset; it uses TF-IDF unigram and bigram features; it compares Multinomial Naive Bayes and Logistic Regression; it reports accuracy, macro precision, macro recall, macro F1, classification report, and confusion matrix; it saves a scikit-learn pipeline; it provides a Streamlit chat interface with input validation and fallback; and it is run with train_model.py followed by app.py.</w:t>
      </w:r>
    </w:p>
    <w:p>
      <w:pPr>
        <w:spacing w:line="360" w:lineRule="auto" w:after="120"/>
      </w:pPr>
      <w:r>
        <w:t>Open questions not answered by the README include the exact dataset schema and size, intent labels, training split, vectorizer settings, classifier hyperparameters, winning model, measured scores, confidence threshold, fallback message, exact response mapping, test coverage, and current deployment status.</w:t>
      </w:r>
    </w:p>
    <w:p>
      <w:pPr>
        <w:spacing w:line="360" w:lineRule="auto" w:after="120"/>
      </w:pPr>
      <w:r>
        <w:t>These open questions should be answered by inspecting the full source repository and running the training and test workflows. Until then, they must remain unspecified in the final academic report.</w:t>
      </w:r>
    </w:p>
    <w:p>
      <w:pPr>
        <w:pStyle w:val="Heading2"/>
      </w:pPr>
      <w:r>
        <w:t>Practical review points</w:t>
      </w:r>
    </w:p>
    <w:p>
      <w:pPr>
        <w:pStyle w:val="ListBullet"/>
        <w:spacing w:after="120" w:line="360" w:lineRule="auto"/>
      </w:pPr>
      <w:r>
        <w:t>Use the actual source code and dataset to verify implementation details before making claims.</w:t>
      </w:r>
    </w:p>
    <w:p>
      <w:pPr>
        <w:pStyle w:val="ListBullet"/>
        <w:spacing w:after="120" w:line="360" w:lineRule="auto"/>
      </w:pPr>
      <w:r>
        <w:t>Keep intent labels consistent across the training data and predefined response mapping.</w:t>
      </w:r>
    </w:p>
    <w:p>
      <w:pPr>
        <w:pStyle w:val="ListBullet"/>
        <w:spacing w:after="120" w:line="360" w:lineRule="auto"/>
      </w:pPr>
      <w:r>
        <w:t>Evaluate model changes on validation data and reserve the test set for final evaluation.</w:t>
      </w:r>
    </w:p>
    <w:p>
      <w:pPr>
        <w:pStyle w:val="ListBullet"/>
        <w:spacing w:after="120" w:line="360" w:lineRule="auto"/>
      </w:pPr>
      <w:r>
        <w:t>Use a clear fallback when the message is outside the supported FAQ categories.</w:t>
      </w:r>
    </w:p>
    <w:p>
      <w:pPr>
        <w:spacing w:line="360" w:lineRule="auto" w:after="120"/>
      </w:pPr>
      <w:r/>
    </w:p>
    <w:p>
      <w:pPr>
        <w:pStyle w:val="Heading1"/>
      </w:pPr>
      <w:r>
        <w:t>APPENDIX F — SMART FAQ CHATBOT COMMANDS</w:t>
      </w:r>
    </w:p>
    <w:p>
      <w:pPr>
        <w:spacing w:line="360" w:lineRule="auto" w:after="120"/>
      </w:pPr>
      <w:r>
        <w:t>The following commands are taken from the uploaded README's local setup workflow. Activate the virtual environment before installing and running the project.</w:t>
      </w:r>
    </w:p>
    <w:p>
      <w:pPr>
        <w:spacing w:after="120" w:line="360" w:lineRule="auto"/>
        <w:ind w:left="288"/>
      </w:pPr>
      <w:r>
        <w:rPr>
          <w:rFonts w:ascii="Consolas" w:hAnsi="Consolas"/>
          <w:sz w:val="18"/>
        </w:rPr>
        <w:t>python --version</w:t>
      </w:r>
    </w:p>
    <w:p>
      <w:pPr>
        <w:spacing w:after="120" w:line="360" w:lineRule="auto"/>
        <w:ind w:left="288"/>
      </w:pPr>
      <w:r>
        <w:rPr>
          <w:rFonts w:ascii="Consolas" w:hAnsi="Consolas"/>
          <w:sz w:val="18"/>
        </w:rPr>
        <w:t>python -m venv .venv</w:t>
      </w:r>
    </w:p>
    <w:p>
      <w:pPr>
        <w:spacing w:after="120" w:line="360" w:lineRule="auto"/>
        <w:ind w:left="288"/>
      </w:pPr>
      <w:r>
        <w:rPr>
          <w:rFonts w:ascii="Consolas" w:hAnsi="Consolas"/>
          <w:sz w:val="18"/>
        </w:rPr>
        <w:t>pip install -r requirements.txt</w:t>
      </w:r>
    </w:p>
    <w:p>
      <w:pPr>
        <w:spacing w:after="120" w:line="360" w:lineRule="auto"/>
        <w:ind w:left="288"/>
      </w:pPr>
      <w:r>
        <w:rPr>
          <w:rFonts w:ascii="Consolas" w:hAnsi="Consolas"/>
          <w:sz w:val="18"/>
        </w:rPr>
        <w:t>python train_model.py</w:t>
      </w:r>
    </w:p>
    <w:p>
      <w:pPr>
        <w:spacing w:after="120" w:line="360" w:lineRule="auto"/>
        <w:ind w:left="288"/>
      </w:pPr>
      <w:r>
        <w:rPr>
          <w:rFonts w:ascii="Consolas" w:hAnsi="Consolas"/>
          <w:sz w:val="18"/>
        </w:rPr>
        <w:t>streamlit run app.py</w:t>
      </w:r>
    </w:p>
    <w:p>
      <w:pPr>
        <w:pStyle w:val="Heading1"/>
      </w:pPr>
      <w:r>
        <w:t>APPENDIX G — SMART FAQ CHATBOT DEPLOYMENT CHECKLIST</w:t>
      </w:r>
    </w:p>
    <w:p>
      <w:pPr>
        <w:pStyle w:val="ListBullet"/>
        <w:spacing w:after="120" w:line="360" w:lineRule="auto"/>
      </w:pPr>
      <w:r>
        <w:t>Confirm Python 3.10 or later.</w:t>
      </w:r>
    </w:p>
    <w:p>
      <w:pPr>
        <w:pStyle w:val="ListBullet"/>
        <w:spacing w:after="120" w:line="360" w:lineRule="auto"/>
      </w:pPr>
      <w:r>
        <w:t>Commit data/faq_intents.csv, train_model.py, app.py, and requirements.txt.</w:t>
      </w:r>
    </w:p>
    <w:p>
      <w:pPr>
        <w:pStyle w:val="ListBullet"/>
        <w:spacing w:after="120" w:line="360" w:lineRule="auto"/>
      </w:pPr>
      <w:r>
        <w:t>Train the model locally or configure a build step.</w:t>
      </w:r>
    </w:p>
    <w:p>
      <w:pPr>
        <w:pStyle w:val="ListBullet"/>
        <w:spacing w:after="120" w:line="360" w:lineRule="auto"/>
      </w:pPr>
      <w:r>
        <w:t>Ensure models/intent_pipeline.joblib is available at runtime.</w:t>
      </w:r>
    </w:p>
    <w:p>
      <w:pPr>
        <w:pStyle w:val="ListBullet"/>
        <w:spacing w:after="120" w:line="360" w:lineRule="auto"/>
      </w:pPr>
      <w:r>
        <w:t>Ensure models/metadata.json is available when the application expects it.</w:t>
      </w:r>
    </w:p>
    <w:p>
      <w:pPr>
        <w:pStyle w:val="ListBullet"/>
        <w:spacing w:after="120" w:line="360" w:lineRule="auto"/>
      </w:pPr>
      <w:r>
        <w:t>Select app.py as the Streamlit Community Cloud entry point.</w:t>
      </w:r>
    </w:p>
    <w:p>
      <w:pPr>
        <w:pStyle w:val="ListBullet"/>
        <w:spacing w:after="120" w:line="360" w:lineRule="auto"/>
      </w:pPr>
      <w:r>
        <w:t>Keep secrets and private institutional information out of public repositories.</w:t>
      </w:r>
    </w:p>
    <w:p>
      <w:pPr>
        <w:pStyle w:val="ListBullet"/>
        <w:spacing w:after="120" w:line="360" w:lineRule="auto"/>
      </w:pPr>
      <w:r>
        <w:t>Verify response keys match the dataset's intent labels.</w:t>
      </w:r>
    </w:p>
    <w:p>
      <w:pPr>
        <w:pStyle w:val="ListBullet"/>
        <w:spacing w:after="120" w:line="360" w:lineRule="auto"/>
      </w:pPr>
      <w:r>
        <w:t>Check fallback behavior for unsupported and uncertain questions.</w:t>
      </w:r>
    </w:p>
    <w:p>
      <w:pPr>
        <w:pStyle w:val="ListBullet"/>
        <w:spacing w:after="120" w:line="360" w:lineRule="auto"/>
      </w:pPr>
      <w:r>
        <w:t>Use validation data—not the test set—to tune the confidence threshold.</w:t>
      </w:r>
    </w:p>
    <w:p>
      <w:pPr>
        <w:pStyle w:val="Heading1"/>
      </w:pPr>
      <w:r>
        <w:t>APPENDIX H — SOURCE FILE CITATION</w:t>
      </w:r>
    </w:p>
    <w:p>
      <w:pPr>
        <w:spacing w:line="360" w:lineRule="auto" w:after="120"/>
      </w:pPr>
      <w:r>
        <w:t>The supplementary Smart FAQ Chatbot documentation is based on the separately uploaded README.md (47 lines). It is a README-level description only. No chatbot source files, training output, dataset, model artifact, or test results were supplied with that README. Accordingly, implementation details not stated in the README are identified as open questions or recommended checks.</w:t>
      </w:r>
    </w:p>
    <w:p>
      <w:pPr>
        <w:spacing w:line="360" w:lineRule="auto" w:after="120"/>
      </w:pPr>
      <w:r>
        <w:t>End of supplementary project documentation.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DoubtBuster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eastAsia="Times New Roman"/>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